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S創英角ｺﾞｼｯｸUB" w:hAnsi="HGS創英角ｺﾞｼｯｸUB" w:eastAsia="HGS創英角ｺﾞｼｯｸUB"/>
          <w:sz w:val="32"/>
        </w:rPr>
      </w:pPr>
      <w:r>
        <w:rPr>
          <w:rFonts w:hint="eastAsia" w:ascii="HGS創英角ｺﾞｼｯｸUB" w:hAnsi="HGS創英角ｺﾞｼｯｸUB" w:eastAsia="HGS創英角ｺﾞｼｯｸUB"/>
          <w:sz w:val="32"/>
        </w:rPr>
        <w:t>令和２年度　人間ドック利用助成のご案内</w:t>
      </w:r>
    </w:p>
    <w:p>
      <w:pPr>
        <w:pStyle w:val="0"/>
        <w:spacing w:line="320" w:lineRule="exact"/>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南丹市国民健康保険被保険者および後期高齢者医療被保険者の方を対象とした短期人間ドックの利用助成を行っています（年度内で１人１回限り）。</w:t>
      </w:r>
    </w:p>
    <w:p>
      <w:pPr>
        <w:pStyle w:val="0"/>
        <w:spacing w:line="320" w:lineRule="exact"/>
        <w:rPr>
          <w:rFonts w:hint="default" w:ascii="HG丸ｺﾞｼｯｸM-PRO" w:hAnsi="HG丸ｺﾞｼｯｸM-PRO" w:eastAsia="HG丸ｺﾞｼｯｸM-PRO"/>
        </w:rPr>
      </w:pPr>
    </w:p>
    <w:p>
      <w:pPr>
        <w:pStyle w:val="0"/>
        <w:spacing w:line="3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●指定医療機関ごとの自己負担額（基本健診部分のみ）</w:t>
      </w:r>
    </w:p>
    <w:tbl>
      <w:tblPr>
        <w:tblStyle w:val="28"/>
        <w:tblW w:w="9639"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3828"/>
        <w:gridCol w:w="456"/>
        <w:gridCol w:w="2520"/>
        <w:gridCol w:w="2835"/>
      </w:tblGrid>
      <w:tr>
        <w:trPr>
          <w:trHeight w:val="590" w:hRule="atLeast"/>
        </w:trPr>
        <w:tc>
          <w:tcPr>
            <w:tcW w:w="3828" w:type="dxa"/>
            <w:tcBorders>
              <w:top w:val="none" w:color="auto" w:sz="0" w:space="0"/>
              <w:left w:val="none" w:color="auto" w:sz="0" w:space="0"/>
              <w:bottom w:val="none" w:color="auto" w:sz="0" w:space="0"/>
              <w:right w:val="single" w:color="auto" w:sz="8" w:space="0"/>
              <w:tl2br w:val="none" w:color="auto" w:sz="0" w:space="0"/>
              <w:tr2bl w:val="none" w:color="auto" w:sz="0" w:space="0"/>
            </w:tcBorders>
            <w:shd w:val="pct10" w:color="auto" w:fill="auto"/>
            <w:vAlign w:val="center"/>
          </w:tcPr>
          <w:p>
            <w:pPr>
              <w:pStyle w:val="0"/>
              <w:spacing w:line="3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指定医療機関</w:t>
            </w:r>
          </w:p>
        </w:tc>
        <w:tc>
          <w:tcPr>
            <w:tcW w:w="2976"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shd w:val="pct10" w:color="auto" w:fill="auto"/>
            <w:vAlign w:val="center"/>
          </w:tcPr>
          <w:p>
            <w:pPr>
              <w:pStyle w:val="0"/>
              <w:spacing w:line="3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胃の検査</w:t>
            </w:r>
          </w:p>
        </w:tc>
        <w:tc>
          <w:tcPr>
            <w:tcW w:w="2835" w:type="dxa"/>
            <w:shd w:val="pct10" w:color="auto" w:fill="auto"/>
            <w:vAlign w:val="center"/>
          </w:tcPr>
          <w:p>
            <w:pPr>
              <w:pStyle w:val="0"/>
              <w:spacing w:line="3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自己負担額</w:t>
            </w:r>
          </w:p>
        </w:tc>
      </w:tr>
      <w:tr>
        <w:trPr>
          <w:trHeight w:val="434" w:hRule="atLeast"/>
        </w:trPr>
        <w:tc>
          <w:tcPr>
            <w:tcW w:w="3828" w:type="dxa"/>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default" w:asciiTheme="majorEastAsia" w:hAnsiTheme="majorEastAsia" w:eastAsiaTheme="majorEastAsia"/>
              </w:rPr>
            </w:pPr>
            <w:r>
              <w:rPr>
                <w:rFonts w:hint="eastAsia" w:asciiTheme="majorEastAsia" w:hAnsiTheme="majorEastAsia" w:eastAsiaTheme="majorEastAsia"/>
              </w:rPr>
              <w:t>明治国際医療大学附属病院</w:t>
            </w:r>
          </w:p>
        </w:tc>
        <w:tc>
          <w:tcPr>
            <w:tcW w:w="2976" w:type="dxa"/>
            <w:gridSpan w:val="2"/>
            <w:tcBorders>
              <w:top w:val="single" w:color="auto" w:sz="8" w:space="0"/>
              <w:left w:val="single" w:color="auto" w:sz="8" w:space="0"/>
              <w:bottom w:val="dash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バリウム</w:t>
            </w:r>
          </w:p>
        </w:tc>
        <w:tc>
          <w:tcPr>
            <w:tcW w:w="2835"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１１，０６８円</w:t>
            </w:r>
          </w:p>
        </w:tc>
      </w:tr>
      <w:tr>
        <w:trPr>
          <w:trHeight w:val="399" w:hRule="atLeast"/>
        </w:trPr>
        <w:tc>
          <w:tcPr>
            <w:tcW w:w="3828"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ind w:firstLine="34" w:firstLineChars="14"/>
              <w:jc w:val="left"/>
              <w:rPr>
                <w:rFonts w:hint="default" w:asciiTheme="majorEastAsia" w:hAnsiTheme="majorEastAsia" w:eastAsiaTheme="majorEastAsia"/>
              </w:rPr>
            </w:pPr>
          </w:p>
        </w:tc>
        <w:tc>
          <w:tcPr>
            <w:tcW w:w="2976" w:type="dxa"/>
            <w:gridSpan w:val="2"/>
            <w:tcBorders>
              <w:top w:val="dashed"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kern w:val="0"/>
              </w:rPr>
              <w:t>胃カメラ</w:t>
            </w:r>
          </w:p>
        </w:tc>
        <w:tc>
          <w:tcPr>
            <w:tcW w:w="2835"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１２，０５８円</w:t>
            </w:r>
          </w:p>
        </w:tc>
      </w:tr>
      <w:tr>
        <w:trPr>
          <w:trHeight w:val="690" w:hRule="atLeast"/>
        </w:trPr>
        <w:tc>
          <w:tcPr>
            <w:tcW w:w="382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default" w:asciiTheme="majorEastAsia" w:hAnsiTheme="majorEastAsia" w:eastAsiaTheme="majorEastAsia"/>
              </w:rPr>
            </w:pPr>
            <w:r>
              <w:rPr>
                <w:rFonts w:hint="eastAsia" w:asciiTheme="majorEastAsia" w:hAnsiTheme="majorEastAsia" w:eastAsiaTheme="majorEastAsia"/>
              </w:rPr>
              <w:t>京都中部総合医療センター</w:t>
            </w:r>
          </w:p>
        </w:tc>
        <w:tc>
          <w:tcPr>
            <w:tcW w:w="2976"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バリウム</w:t>
            </w:r>
          </w:p>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胃カメラ</w:t>
            </w:r>
          </w:p>
        </w:tc>
        <w:tc>
          <w:tcPr>
            <w:tcW w:w="28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１２，８７０円</w:t>
            </w:r>
          </w:p>
        </w:tc>
      </w:tr>
      <w:tr>
        <w:trPr/>
        <w:tc>
          <w:tcPr>
            <w:tcW w:w="3828" w:type="dxa"/>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default" w:asciiTheme="majorEastAsia" w:hAnsiTheme="majorEastAsia" w:eastAsiaTheme="majorEastAsia"/>
              </w:rPr>
            </w:pPr>
            <w:r>
              <w:rPr>
                <w:rFonts w:hint="eastAsia" w:asciiTheme="majorEastAsia" w:hAnsiTheme="majorEastAsia" w:eastAsiaTheme="majorEastAsia"/>
              </w:rPr>
              <w:t>御池クリニック</w:t>
            </w:r>
          </w:p>
        </w:tc>
        <w:tc>
          <w:tcPr>
            <w:tcW w:w="2976" w:type="dxa"/>
            <w:gridSpan w:val="2"/>
            <w:tcBorders>
              <w:top w:val="none" w:color="auto" w:sz="0" w:space="0"/>
              <w:left w:val="single" w:color="auto" w:sz="8" w:space="0"/>
              <w:bottom w:val="dash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バリウム</w:t>
            </w:r>
          </w:p>
        </w:tc>
        <w:tc>
          <w:tcPr>
            <w:tcW w:w="2835"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１２，５４０円</w:t>
            </w:r>
          </w:p>
        </w:tc>
      </w:tr>
      <w:tr>
        <w:trPr>
          <w:trHeight w:val="135" w:hRule="atLeast"/>
        </w:trPr>
        <w:tc>
          <w:tcPr>
            <w:tcW w:w="3828"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ind w:firstLine="34" w:firstLineChars="14"/>
              <w:jc w:val="left"/>
              <w:rPr>
                <w:rFonts w:hint="default" w:asciiTheme="majorEastAsia" w:hAnsiTheme="majorEastAsia" w:eastAsiaTheme="majorEastAsia"/>
              </w:rPr>
            </w:pPr>
          </w:p>
        </w:tc>
        <w:tc>
          <w:tcPr>
            <w:tcW w:w="2976" w:type="dxa"/>
            <w:gridSpan w:val="2"/>
            <w:tcBorders>
              <w:top w:val="dashed" w:color="auto" w:sz="4" w:space="0"/>
              <w:left w:val="single" w:color="auto" w:sz="8" w:space="0"/>
              <w:bottom w:val="dash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kern w:val="0"/>
              </w:rPr>
              <w:t>胃経口カメラ</w:t>
            </w:r>
          </w:p>
        </w:tc>
        <w:tc>
          <w:tcPr>
            <w:tcW w:w="2835"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１３，５３０円</w:t>
            </w:r>
          </w:p>
        </w:tc>
      </w:tr>
      <w:tr>
        <w:trPr>
          <w:trHeight w:val="210" w:hRule="atLeast"/>
        </w:trPr>
        <w:tc>
          <w:tcPr>
            <w:tcW w:w="3828"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ind w:firstLine="34" w:firstLineChars="14"/>
              <w:jc w:val="left"/>
              <w:rPr>
                <w:rFonts w:hint="default" w:asciiTheme="majorEastAsia" w:hAnsiTheme="majorEastAsia" w:eastAsiaTheme="majorEastAsia"/>
              </w:rPr>
            </w:pPr>
          </w:p>
        </w:tc>
        <w:tc>
          <w:tcPr>
            <w:tcW w:w="2976" w:type="dxa"/>
            <w:gridSpan w:val="2"/>
            <w:tcBorders>
              <w:top w:val="dashed"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kern w:val="0"/>
              </w:rPr>
              <w:t>胃経鼻カメラ</w:t>
            </w:r>
          </w:p>
        </w:tc>
        <w:tc>
          <w:tcPr>
            <w:tcW w:w="2835"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１３，８６０円</w:t>
            </w:r>
          </w:p>
        </w:tc>
      </w:tr>
      <w:tr>
        <w:trPr>
          <w:trHeight w:val="90" w:hRule="atLeast"/>
        </w:trPr>
        <w:tc>
          <w:tcPr>
            <w:tcW w:w="3828" w:type="dxa"/>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default" w:asciiTheme="majorEastAsia" w:hAnsiTheme="majorEastAsia" w:eastAsiaTheme="majorEastAsia"/>
              </w:rPr>
            </w:pPr>
            <w:r>
              <w:rPr>
                <w:rFonts w:hint="eastAsia" w:asciiTheme="majorEastAsia" w:hAnsiTheme="majorEastAsia" w:eastAsiaTheme="majorEastAsia"/>
              </w:rPr>
              <w:t>四条烏丸クリニック</w:t>
            </w:r>
          </w:p>
        </w:tc>
        <w:tc>
          <w:tcPr>
            <w:tcW w:w="2976" w:type="dxa"/>
            <w:gridSpan w:val="2"/>
            <w:tcBorders>
              <w:top w:val="none" w:color="auto" w:sz="0" w:space="0"/>
              <w:left w:val="single" w:color="auto" w:sz="8" w:space="0"/>
              <w:bottom w:val="dash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バリウム</w:t>
            </w:r>
          </w:p>
        </w:tc>
        <w:tc>
          <w:tcPr>
            <w:tcW w:w="2835"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１２，５４０円</w:t>
            </w:r>
          </w:p>
        </w:tc>
      </w:tr>
      <w:tr>
        <w:trPr>
          <w:trHeight w:val="135" w:hRule="atLeast"/>
        </w:trPr>
        <w:tc>
          <w:tcPr>
            <w:tcW w:w="3828"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ind w:firstLine="34" w:firstLineChars="14"/>
              <w:jc w:val="left"/>
              <w:rPr>
                <w:rFonts w:hint="default" w:asciiTheme="majorEastAsia" w:hAnsiTheme="majorEastAsia" w:eastAsiaTheme="majorEastAsia"/>
              </w:rPr>
            </w:pPr>
          </w:p>
        </w:tc>
        <w:tc>
          <w:tcPr>
            <w:tcW w:w="2976" w:type="dxa"/>
            <w:gridSpan w:val="2"/>
            <w:tcBorders>
              <w:top w:val="dashed" w:color="auto" w:sz="4" w:space="0"/>
              <w:left w:val="single" w:color="auto" w:sz="8" w:space="0"/>
              <w:bottom w:val="dash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kern w:val="0"/>
              </w:rPr>
              <w:t>胃経口カメラ</w:t>
            </w:r>
          </w:p>
        </w:tc>
        <w:tc>
          <w:tcPr>
            <w:tcW w:w="2835"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１３，５３０円</w:t>
            </w:r>
          </w:p>
        </w:tc>
      </w:tr>
      <w:tr>
        <w:trPr>
          <w:trHeight w:val="195" w:hRule="atLeast"/>
        </w:trPr>
        <w:tc>
          <w:tcPr>
            <w:tcW w:w="3828"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ind w:firstLine="34" w:firstLineChars="14"/>
              <w:jc w:val="left"/>
              <w:rPr>
                <w:rFonts w:hint="default" w:asciiTheme="majorEastAsia" w:hAnsiTheme="majorEastAsia" w:eastAsiaTheme="majorEastAsia"/>
              </w:rPr>
            </w:pPr>
          </w:p>
        </w:tc>
        <w:tc>
          <w:tcPr>
            <w:tcW w:w="2976" w:type="dxa"/>
            <w:gridSpan w:val="2"/>
            <w:tcBorders>
              <w:top w:val="dashed"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kern w:val="0"/>
              </w:rPr>
              <w:t>胃経鼻カメラ</w:t>
            </w:r>
          </w:p>
        </w:tc>
        <w:tc>
          <w:tcPr>
            <w:tcW w:w="2835"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１３，８６０円</w:t>
            </w:r>
          </w:p>
        </w:tc>
      </w:tr>
      <w:tr>
        <w:trPr>
          <w:trHeight w:val="431" w:hRule="atLeast"/>
        </w:trPr>
        <w:tc>
          <w:tcPr>
            <w:tcW w:w="3828" w:type="dxa"/>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default" w:asciiTheme="majorEastAsia" w:hAnsiTheme="majorEastAsia" w:eastAsiaTheme="majorEastAsia"/>
              </w:rPr>
            </w:pPr>
            <w:r>
              <w:rPr>
                <w:rFonts w:hint="eastAsia" w:asciiTheme="majorEastAsia" w:hAnsiTheme="majorEastAsia" w:eastAsiaTheme="majorEastAsia"/>
              </w:rPr>
              <w:t>京都工場保健会</w:t>
            </w:r>
          </w:p>
        </w:tc>
        <w:tc>
          <w:tcPr>
            <w:tcW w:w="2976" w:type="dxa"/>
            <w:gridSpan w:val="2"/>
            <w:tcBorders>
              <w:top w:val="none" w:color="auto" w:sz="0" w:space="0"/>
              <w:left w:val="single" w:color="auto" w:sz="8" w:space="0"/>
              <w:bottom w:val="dash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バリウム</w:t>
            </w:r>
          </w:p>
        </w:tc>
        <w:tc>
          <w:tcPr>
            <w:tcW w:w="2835"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１２，８７０円</w:t>
            </w:r>
          </w:p>
        </w:tc>
      </w:tr>
      <w:tr>
        <w:trPr>
          <w:trHeight w:val="408" w:hRule="atLeast"/>
        </w:trPr>
        <w:tc>
          <w:tcPr>
            <w:tcW w:w="3828" w:type="dxa"/>
            <w:vMerge w:val="continue"/>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line="320" w:lineRule="exact"/>
              <w:ind w:firstLine="34" w:firstLineChars="14"/>
              <w:jc w:val="left"/>
              <w:rPr>
                <w:rFonts w:hint="default" w:asciiTheme="majorEastAsia" w:hAnsiTheme="majorEastAsia" w:eastAsiaTheme="majorEastAsia"/>
              </w:rPr>
            </w:pPr>
          </w:p>
        </w:tc>
        <w:tc>
          <w:tcPr>
            <w:tcW w:w="2976" w:type="dxa"/>
            <w:gridSpan w:val="2"/>
            <w:tcBorders>
              <w:top w:val="dashed"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kern w:val="0"/>
              </w:rPr>
              <w:t>胃カメラ</w:t>
            </w:r>
          </w:p>
        </w:tc>
        <w:tc>
          <w:tcPr>
            <w:tcW w:w="2835"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１４，８５０円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firstRow="0" w:lastRow="0" w:firstColumn="0" w:lastColumn="0" w:noHBand="0" w:noVBand="0" w:val="0000"/>
        </w:tblPrEx>
        <w:trPr>
          <w:trHeight w:val="400" w:hRule="atLeast"/>
        </w:trPr>
        <w:tc>
          <w:tcPr>
            <w:tcW w:w="3828"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default" w:asciiTheme="majorEastAsia" w:hAnsiTheme="majorEastAsia" w:eastAsiaTheme="majorEastAsia"/>
              </w:rPr>
            </w:pPr>
            <w:r>
              <w:rPr>
                <w:rFonts w:hint="eastAsia" w:asciiTheme="majorEastAsia" w:hAnsiTheme="majorEastAsia" w:eastAsiaTheme="majorEastAsia"/>
              </w:rPr>
              <w:t>京都予防医学センター</w:t>
            </w:r>
          </w:p>
        </w:tc>
        <w:tc>
          <w:tcPr>
            <w:tcW w:w="2976" w:type="dxa"/>
            <w:gridSpan w:val="2"/>
            <w:tcBorders>
              <w:top w:val="single" w:color="auto" w:sz="8" w:space="0"/>
              <w:left w:val="single" w:color="auto" w:sz="8"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バリウム</w:t>
            </w:r>
          </w:p>
        </w:tc>
        <w:tc>
          <w:tcPr>
            <w:tcW w:w="2835" w:type="dxa"/>
            <w:tcBorders>
              <w:top w:val="none" w:color="auto" w:sz="0" w:space="0"/>
              <w:left w:val="single" w:color="auto" w:sz="4" w:space="0"/>
              <w:bottom w:val="dashed" w:color="auto" w:sz="4" w:space="0"/>
              <w:right w:val="single" w:color="auto" w:sz="8"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１３，２００円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firstRow="0" w:lastRow="0" w:firstColumn="0" w:lastColumn="0" w:noHBand="0" w:noVBand="0" w:val="0000"/>
        </w:tblPrEx>
        <w:trPr>
          <w:trHeight w:val="417" w:hRule="atLeast"/>
        </w:trPr>
        <w:tc>
          <w:tcPr>
            <w:tcW w:w="3828"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20" w:lineRule="exact"/>
              <w:ind w:left="240" w:firstLine="34" w:firstLineChars="14"/>
              <w:jc w:val="left"/>
              <w:rPr>
                <w:rFonts w:hint="default" w:asciiTheme="majorEastAsia" w:hAnsiTheme="majorEastAsia" w:eastAsiaTheme="majorEastAsia"/>
              </w:rPr>
            </w:pPr>
          </w:p>
        </w:tc>
        <w:tc>
          <w:tcPr>
            <w:tcW w:w="2976" w:type="dxa"/>
            <w:gridSpan w:val="2"/>
            <w:tcBorders>
              <w:top w:val="dashed"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kern w:val="0"/>
              </w:rPr>
              <w:t>胃カメラ</w:t>
            </w:r>
          </w:p>
        </w:tc>
        <w:tc>
          <w:tcPr>
            <w:tcW w:w="2835" w:type="dxa"/>
            <w:tcBorders>
              <w:top w:val="dashed"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１４，１９０円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hRule="atLeast"/>
        </w:trPr>
        <w:tc>
          <w:tcPr>
            <w:tcW w:w="3828"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default" w:asciiTheme="majorEastAsia" w:hAnsiTheme="majorEastAsia" w:eastAsiaTheme="majorEastAsia"/>
              </w:rPr>
            </w:pPr>
            <w:r>
              <w:rPr>
                <w:rFonts w:hint="eastAsia" w:asciiTheme="majorEastAsia" w:hAnsiTheme="majorEastAsia" w:eastAsiaTheme="majorEastAsia"/>
              </w:rPr>
              <w:t>京都桂病院</w:t>
            </w:r>
          </w:p>
        </w:tc>
        <w:tc>
          <w:tcPr>
            <w:tcW w:w="456"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国</w:t>
            </w:r>
          </w:p>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保</w:t>
            </w:r>
          </w:p>
        </w:tc>
        <w:tc>
          <w:tcPr>
            <w:tcW w:w="2520" w:type="dxa"/>
            <w:tcBorders>
              <w:top w:val="none" w:color="auto" w:sz="0" w:space="0"/>
              <w:left w:val="none" w:color="auto" w:sz="0"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バリウム</w:t>
            </w:r>
          </w:p>
        </w:tc>
        <w:tc>
          <w:tcPr>
            <w:tcW w:w="2835" w:type="dxa"/>
            <w:tcBorders>
              <w:top w:val="none" w:color="auto" w:sz="0" w:space="0"/>
              <w:left w:val="single" w:color="auto" w:sz="4"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１２，２１０円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hRule="atLeast"/>
        </w:trPr>
        <w:tc>
          <w:tcPr>
            <w:tcW w:w="38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eastAsia" w:asciiTheme="majorEastAsia" w:hAnsiTheme="majorEastAsia" w:eastAsiaTheme="majorEastAsia"/>
              </w:rPr>
            </w:pPr>
          </w:p>
        </w:tc>
        <w:tc>
          <w:tcPr>
            <w:tcW w:w="456"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p>
        </w:tc>
        <w:tc>
          <w:tcPr>
            <w:tcW w:w="2520" w:type="dxa"/>
            <w:tcBorders>
              <w:top w:val="dashed" w:color="auto" w:sz="4" w:space="0"/>
              <w:left w:val="none" w:color="auto" w:sz="0"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r>
              <w:rPr>
                <w:rFonts w:hint="eastAsia" w:asciiTheme="majorEastAsia" w:hAnsiTheme="majorEastAsia" w:eastAsiaTheme="majorEastAsia"/>
              </w:rPr>
              <w:t>胃経口カメラ</w:t>
            </w:r>
          </w:p>
        </w:tc>
        <w:tc>
          <w:tcPr>
            <w:tcW w:w="2835" w:type="dxa"/>
            <w:tcBorders>
              <w:top w:val="dashed" w:color="auto" w:sz="4" w:space="0"/>
              <w:left w:val="single" w:color="auto" w:sz="4"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r>
              <w:rPr>
                <w:rFonts w:hint="eastAsia" w:asciiTheme="majorEastAsia" w:hAnsiTheme="majorEastAsia" w:eastAsiaTheme="majorEastAsia"/>
              </w:rPr>
              <w:t>１２，８７０円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hRule="atLeast"/>
        </w:trPr>
        <w:tc>
          <w:tcPr>
            <w:tcW w:w="38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320" w:lineRule="exact"/>
              <w:jc w:val="left"/>
              <w:rPr>
                <w:rFonts w:hint="eastAsia" w:asciiTheme="majorEastAsia" w:hAnsiTheme="majorEastAsia" w:eastAsiaTheme="majorEastAsia"/>
              </w:rPr>
            </w:pPr>
          </w:p>
        </w:tc>
        <w:tc>
          <w:tcPr>
            <w:tcW w:w="456"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p>
        </w:tc>
        <w:tc>
          <w:tcPr>
            <w:tcW w:w="2520" w:type="dxa"/>
            <w:tcBorders>
              <w:top w:val="dashed" w:color="auto" w:sz="4"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r>
              <w:rPr>
                <w:rFonts w:hint="eastAsia" w:asciiTheme="majorEastAsia" w:hAnsiTheme="majorEastAsia" w:eastAsiaTheme="majorEastAsia"/>
              </w:rPr>
              <w:t>胃経鼻カメラ</w:t>
            </w:r>
          </w:p>
        </w:tc>
        <w:tc>
          <w:tcPr>
            <w:tcW w:w="2835" w:type="dxa"/>
            <w:tcBorders>
              <w:top w:val="dashed"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r>
              <w:rPr>
                <w:rFonts w:hint="eastAsia" w:asciiTheme="majorEastAsia" w:hAnsiTheme="majorEastAsia" w:eastAsiaTheme="majorEastAsia"/>
              </w:rPr>
              <w:t>１３，２００円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hRule="atLeast"/>
        </w:trPr>
        <w:tc>
          <w:tcPr>
            <w:tcW w:w="38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20" w:lineRule="exact"/>
              <w:ind w:left="240" w:hanging="240" w:hangingChars="100"/>
              <w:rPr>
                <w:rFonts w:hint="default" w:asciiTheme="majorEastAsia" w:hAnsiTheme="majorEastAsia" w:eastAsiaTheme="majorEastAsia"/>
              </w:rPr>
            </w:pPr>
          </w:p>
        </w:tc>
        <w:tc>
          <w:tcPr>
            <w:tcW w:w="456"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後</w:t>
            </w:r>
          </w:p>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期</w:t>
            </w:r>
          </w:p>
        </w:tc>
        <w:tc>
          <w:tcPr>
            <w:tcW w:w="2520" w:type="dxa"/>
            <w:tcBorders>
              <w:top w:val="single" w:color="auto" w:sz="8" w:space="0"/>
              <w:left w:val="none" w:color="auto" w:sz="0"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バリウム</w:t>
            </w:r>
          </w:p>
        </w:tc>
        <w:tc>
          <w:tcPr>
            <w:tcW w:w="2835" w:type="dxa"/>
            <w:tcBorders>
              <w:top w:val="single" w:color="auto" w:sz="8" w:space="0"/>
              <w:left w:val="single" w:color="auto" w:sz="4"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１１，８８０円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hRule="atLeast"/>
        </w:trPr>
        <w:tc>
          <w:tcPr>
            <w:tcW w:w="38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20" w:lineRule="exact"/>
              <w:ind w:left="240" w:hanging="240" w:hangingChars="100"/>
              <w:rPr>
                <w:rFonts w:hint="default" w:asciiTheme="majorEastAsia" w:hAnsiTheme="majorEastAsia" w:eastAsiaTheme="majorEastAsia"/>
              </w:rPr>
            </w:pPr>
          </w:p>
        </w:tc>
        <w:tc>
          <w:tcPr>
            <w:tcW w:w="456"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p>
        </w:tc>
        <w:tc>
          <w:tcPr>
            <w:tcW w:w="2520" w:type="dxa"/>
            <w:tcBorders>
              <w:top w:val="dashed" w:color="auto" w:sz="4" w:space="0"/>
              <w:left w:val="none" w:color="auto" w:sz="0"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r>
              <w:rPr>
                <w:rFonts w:hint="eastAsia" w:asciiTheme="majorEastAsia" w:hAnsiTheme="majorEastAsia" w:eastAsiaTheme="majorEastAsia"/>
              </w:rPr>
              <w:t>胃経口カメラ</w:t>
            </w:r>
          </w:p>
        </w:tc>
        <w:tc>
          <w:tcPr>
            <w:tcW w:w="2835" w:type="dxa"/>
            <w:tcBorders>
              <w:top w:val="dashed" w:color="auto" w:sz="4" w:space="0"/>
              <w:left w:val="single" w:color="auto" w:sz="4" w:space="0"/>
              <w:bottom w:val="dashed" w:color="auto" w:sz="4" w:space="0"/>
              <w:right w:val="single" w:color="auto" w:sz="8"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r>
              <w:rPr>
                <w:rFonts w:hint="eastAsia" w:asciiTheme="majorEastAsia" w:hAnsiTheme="majorEastAsia" w:eastAsiaTheme="majorEastAsia"/>
              </w:rPr>
              <w:t>１２，５４０円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hRule="atLeast"/>
        </w:trPr>
        <w:tc>
          <w:tcPr>
            <w:tcW w:w="3828"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20" w:lineRule="exact"/>
              <w:ind w:left="240" w:hanging="240" w:hangingChars="100"/>
              <w:rPr>
                <w:rFonts w:hint="default" w:asciiTheme="majorEastAsia" w:hAnsiTheme="majorEastAsia" w:eastAsiaTheme="majorEastAsia"/>
              </w:rPr>
            </w:pPr>
          </w:p>
        </w:tc>
        <w:tc>
          <w:tcPr>
            <w:tcW w:w="456"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p>
        </w:tc>
        <w:tc>
          <w:tcPr>
            <w:tcW w:w="2520" w:type="dxa"/>
            <w:tcBorders>
              <w:top w:val="dashed" w:color="auto" w:sz="4"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r>
              <w:rPr>
                <w:rFonts w:hint="eastAsia" w:asciiTheme="majorEastAsia" w:hAnsiTheme="majorEastAsia" w:eastAsiaTheme="majorEastAsia"/>
              </w:rPr>
              <w:t>胃経鼻カメラ</w:t>
            </w:r>
          </w:p>
        </w:tc>
        <w:tc>
          <w:tcPr>
            <w:tcW w:w="2835" w:type="dxa"/>
            <w:tcBorders>
              <w:top w:val="dashed"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20" w:lineRule="exact"/>
              <w:jc w:val="center"/>
              <w:rPr>
                <w:rFonts w:hint="eastAsia" w:asciiTheme="majorEastAsia" w:hAnsiTheme="majorEastAsia" w:eastAsiaTheme="majorEastAsia"/>
              </w:rPr>
            </w:pPr>
            <w:r>
              <w:rPr>
                <w:rFonts w:hint="eastAsia" w:asciiTheme="majorEastAsia" w:hAnsiTheme="majorEastAsia" w:eastAsiaTheme="majorEastAsia"/>
              </w:rPr>
              <w:t>１２，８７０円</w:t>
            </w:r>
          </w:p>
        </w:tc>
      </w:tr>
    </w:tbl>
    <w:p>
      <w:pPr>
        <w:pStyle w:val="0"/>
        <w:spacing w:line="320" w:lineRule="exact"/>
        <w:ind w:left="240" w:hanging="240" w:hangingChars="100"/>
        <w:rPr>
          <w:rFonts w:hint="default" w:ascii="HG丸ｺﾞｼｯｸM-PRO" w:hAnsi="HG丸ｺﾞｼｯｸM-PRO" w:eastAsia="HG丸ｺﾞｼｯｸM-PRO"/>
        </w:rPr>
      </w:pPr>
    </w:p>
    <w:p>
      <w:pPr>
        <w:pStyle w:val="0"/>
        <w:spacing w:line="320" w:lineRule="exact"/>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※基本健診部分以外のオプション部分は、全額個人負担となります。オプションの内容は、各指定医療機関によって異なります。</w:t>
      </w:r>
    </w:p>
    <w:p>
      <w:pPr>
        <w:pStyle w:val="0"/>
        <w:spacing w:line="320" w:lineRule="exact"/>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※すべての医療機関で頭部ＭＲＩ（脳ドック）の受診が可能です（全額個人負担）。</w:t>
      </w:r>
    </w:p>
    <w:p>
      <w:pPr>
        <w:pStyle w:val="0"/>
        <w:spacing w:line="320" w:lineRule="exact"/>
        <w:rPr>
          <w:rFonts w:hint="default" w:ascii="HG丸ｺﾞｼｯｸM-PRO" w:hAnsi="HG丸ｺﾞｼｯｸM-PRO" w:eastAsia="HG丸ｺﾞｼｯｸM-PRO"/>
        </w:rPr>
      </w:pPr>
    </w:p>
    <w:p>
      <w:pPr>
        <w:pStyle w:val="0"/>
        <w:spacing w:line="3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●利用方法　</w:t>
      </w:r>
    </w:p>
    <w:p>
      <w:pPr>
        <w:pStyle w:val="0"/>
        <w:spacing w:line="320" w:lineRule="exact"/>
        <w:ind w:left="480" w:leftChars="10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①　被保険者証を持参して</w:t>
      </w:r>
      <w:r>
        <w:rPr>
          <w:rFonts w:hint="eastAsia" w:ascii="HG丸ｺﾞｼｯｸM-PRO" w:hAnsi="HG丸ｺﾞｼｯｸM-PRO" w:eastAsia="HG丸ｺﾞｼｯｸM-PRO"/>
          <w:b w:val="1"/>
          <w:u w:val="single" w:color="auto"/>
        </w:rPr>
        <w:t>受診日の２週間前まで</w:t>
      </w:r>
      <w:r>
        <w:rPr>
          <w:rFonts w:hint="eastAsia" w:ascii="HG丸ｺﾞｼｯｸM-PRO" w:hAnsi="HG丸ｺﾞｼｯｸM-PRO" w:eastAsia="HG丸ｺﾞｼｯｸM-PRO"/>
          <w:b w:val="1"/>
          <w:u w:val="wave" w:color="auto"/>
        </w:rPr>
        <w:t>に</w:t>
      </w:r>
      <w:r>
        <w:rPr>
          <w:rFonts w:hint="eastAsia" w:ascii="HG丸ｺﾞｼｯｸM-PRO" w:hAnsi="HG丸ｺﾞｼｯｸM-PRO" w:eastAsia="HG丸ｺﾞｼｯｸM-PRO"/>
          <w:u w:val="wave" w:color="auto"/>
        </w:rPr>
        <w:t>市民課または各支所で人間ドック利用助成の申請書を記入してください。</w:t>
      </w:r>
    </w:p>
    <w:p>
      <w:pPr>
        <w:pStyle w:val="0"/>
        <w:spacing w:line="320" w:lineRule="exact"/>
        <w:ind w:firstLine="480" w:firstLineChars="200"/>
        <w:rPr>
          <w:rFonts w:hint="eastAsia" w:ascii="HG丸ｺﾞｼｯｸM-PRO" w:hAnsi="HG丸ｺﾞｼｯｸM-PRO" w:eastAsia="HG丸ｺﾞｼｯｸM-PRO"/>
        </w:rPr>
      </w:pPr>
      <w:r>
        <w:rPr>
          <w:rFonts w:hint="eastAsia" w:ascii="HG丸ｺﾞｼｯｸM-PRO" w:hAnsi="HG丸ｺﾞｼｯｸM-PRO" w:eastAsia="HG丸ｺﾞｼｯｸM-PRO"/>
        </w:rPr>
        <w:t>（指定医療機関への予約は、申請前にご本人様より直接行ってください。）</w:t>
      </w:r>
    </w:p>
    <w:p>
      <w:pPr>
        <w:pStyle w:val="0"/>
        <w:spacing w:line="320" w:lineRule="exact"/>
        <w:ind w:left="480" w:leftChars="200"/>
        <w:rPr>
          <w:rFonts w:hint="default" w:ascii="HG丸ｺﾞｼｯｸM-PRO" w:hAnsi="HG丸ｺﾞｼｯｸM-PRO" w:eastAsia="HG丸ｺﾞｼｯｸM-PRO"/>
        </w:rPr>
      </w:pPr>
      <w:r>
        <w:rPr>
          <w:rFonts w:hint="eastAsia" w:ascii="HG丸ｺﾞｼｯｸM-PRO" w:hAnsi="HG丸ｺﾞｼｯｸM-PRO" w:eastAsia="HG丸ｺﾞｼｯｸM-PRO"/>
        </w:rPr>
        <w:t>②　後日、市から送付する短期人間ドック「利用券」を必ず持参して、指定医療機関で受診してください。</w:t>
      </w:r>
    </w:p>
    <w:p>
      <w:pPr>
        <w:pStyle w:val="0"/>
        <w:spacing w:line="320" w:lineRule="exact"/>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なお、予算の範囲内での助成となりますので、ご希望に添えない場合があります。</w:t>
      </w:r>
    </w:p>
    <w:p>
      <w:pPr>
        <w:pStyle w:val="0"/>
        <w:spacing w:line="320" w:lineRule="exact"/>
        <w:ind w:left="480" w:leftChars="10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人間ドック利用券の申請をせずに受診された場合は、全額個人負担となりますので、ご注意ください。</w:t>
      </w:r>
    </w:p>
    <w:p>
      <w:pPr>
        <w:pStyle w:val="0"/>
        <w:spacing w:line="320" w:lineRule="exact"/>
        <w:ind w:left="480" w:leftChars="100" w:hanging="240" w:hangingChars="100"/>
        <w:rPr>
          <w:rFonts w:hint="default" w:ascii="HG丸ｺﾞｼｯｸM-PRO" w:hAnsi="HG丸ｺﾞｼｯｸM-PRO" w:eastAsia="HG丸ｺﾞｼｯｸM-PRO"/>
        </w:rPr>
      </w:pPr>
    </w:p>
    <w:p>
      <w:pPr>
        <w:pStyle w:val="0"/>
        <w:widowControl w:val="1"/>
        <w:jc w:val="left"/>
        <w:rPr>
          <w:rFonts w:hint="default" w:ascii="HGS創英角ｺﾞｼｯｸUB" w:hAnsi="HGS創英角ｺﾞｼｯｸUB" w:eastAsia="HGS創英角ｺﾞｼｯｸUB"/>
        </w:rPr>
      </w:pPr>
      <w:r>
        <w:rPr>
          <w:rFonts w:hint="default" w:ascii="HGS創英角ｺﾞｼｯｸUB" w:hAnsi="HGS創英角ｺﾞｼｯｸUB" w:eastAsia="HGS創英角ｺﾞｼｯｸUB"/>
        </w:rPr>
        <w:br w:type="page"/>
      </w:r>
    </w:p>
    <w:p>
      <w:pPr>
        <w:pStyle w:val="0"/>
        <w:spacing w:line="320" w:lineRule="exact"/>
        <w:rPr>
          <w:rFonts w:hint="default" w:ascii="HGS創英角ｺﾞｼｯｸUB" w:hAnsi="HGS創英角ｺﾞｼｯｸUB" w:eastAsia="HGS創英角ｺﾞｼｯｸUB"/>
        </w:rPr>
      </w:pPr>
      <w:r>
        <w:rPr>
          <w:rFonts w:hint="eastAsia" w:ascii="HGS創英角ｺﾞｼｯｸUB" w:hAnsi="HGS創英角ｺﾞｼｯｸUB" w:eastAsia="HGS創英角ｺﾞｼｯｸUB"/>
        </w:rPr>
        <w:t>＜国民健康保険短期人間ドック利用助成の対象者＞</w:t>
      </w:r>
    </w:p>
    <w:p>
      <w:pPr>
        <w:pStyle w:val="0"/>
        <w:spacing w:line="3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南丹市国民健康保険被保険者で次の①～③全てに該当する方</w:t>
      </w:r>
    </w:p>
    <w:p>
      <w:pPr>
        <w:pStyle w:val="0"/>
        <w:spacing w:line="320" w:lineRule="exact"/>
        <w:ind w:firstLine="240"/>
        <w:rPr>
          <w:rFonts w:hint="default" w:ascii="HG丸ｺﾞｼｯｸM-PRO" w:hAnsi="HG丸ｺﾞｼｯｸM-PRO" w:eastAsia="HG丸ｺﾞｼｯｸM-PRO"/>
        </w:rPr>
      </w:pPr>
      <w:r>
        <w:rPr>
          <w:rFonts w:hint="eastAsia" w:ascii="HG丸ｺﾞｼｯｸM-PRO" w:hAnsi="HG丸ｺﾞｼｯｸM-PRO" w:eastAsia="HG丸ｺﾞｼｯｸM-PRO"/>
        </w:rPr>
        <w:t>①　南丹市国民健康保険に６カ月以上加入している方</w:t>
      </w:r>
    </w:p>
    <w:p>
      <w:pPr>
        <w:pStyle w:val="0"/>
        <w:spacing w:line="320" w:lineRule="exact"/>
        <w:ind w:firstLine="240"/>
        <w:rPr>
          <w:rFonts w:hint="default" w:ascii="HG丸ｺﾞｼｯｸM-PRO" w:hAnsi="HG丸ｺﾞｼｯｸM-PRO" w:eastAsia="HG丸ｺﾞｼｯｸM-PRO"/>
        </w:rPr>
      </w:pPr>
      <w:r>
        <w:rPr>
          <w:rFonts w:hint="eastAsia" w:ascii="HG丸ｺﾞｼｯｸM-PRO" w:hAnsi="HG丸ｺﾞｼｯｸM-PRO" w:eastAsia="HG丸ｺﾞｼｯｸM-PRO"/>
        </w:rPr>
        <w:t>②　納期到来の国保税を完納している世帯に属する方</w:t>
      </w:r>
    </w:p>
    <w:p>
      <w:pPr>
        <w:pStyle w:val="0"/>
        <w:spacing w:line="320" w:lineRule="exact"/>
        <w:ind w:firstLine="240" w:firstLineChars="10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③　</w:t>
      </w:r>
      <w:r>
        <w:rPr>
          <w:rFonts w:hint="eastAsia" w:ascii="HG丸ｺﾞｼｯｸM-PRO" w:hAnsi="HG丸ｺﾞｼｯｸM-PRO" w:eastAsia="HG丸ｺﾞｼｯｸM-PRO"/>
          <w:u w:val="single" w:color="auto"/>
        </w:rPr>
        <w:t>当該年度に南丹市市民健診を受けていない方</w:t>
      </w:r>
    </w:p>
    <w:p>
      <w:pPr>
        <w:pStyle w:val="0"/>
        <w:spacing w:line="320" w:lineRule="exact"/>
        <w:ind w:firstLine="240" w:firstLineChars="100"/>
        <w:rPr>
          <w:rFonts w:hint="default" w:ascii="HG丸ｺﾞｼｯｸM-PRO" w:hAnsi="HG丸ｺﾞｼｯｸM-PRO" w:eastAsia="HG丸ｺﾞｼｯｸM-PRO"/>
        </w:rPr>
      </w:pPr>
    </w:p>
    <w:p>
      <w:pPr>
        <w:pStyle w:val="0"/>
        <w:spacing w:line="320" w:lineRule="exact"/>
        <w:ind w:left="240" w:hanging="24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令和２年度内に下記の年齢に到達される方、または、令和元年度内に一度も医療機関で受診されなかった世帯の方は、令和２年度の人間ドック基本健診部分の自己負担金が無料となります（オプションは全額個人負担）。</w:t>
      </w:r>
    </w:p>
    <w:p>
      <w:pPr>
        <w:pStyle w:val="0"/>
        <w:spacing w:line="320" w:lineRule="exact"/>
        <w:ind w:firstLine="48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・満３０歳…平成２年４月２日～平成３年４月１日生まれ</w:t>
      </w:r>
    </w:p>
    <w:p>
      <w:pPr>
        <w:pStyle w:val="0"/>
        <w:spacing w:line="320" w:lineRule="exact"/>
        <w:ind w:firstLine="48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・満４０歳…昭和５５年４月２日～昭和５６年４月１日生まれ</w:t>
      </w:r>
    </w:p>
    <w:p>
      <w:pPr>
        <w:pStyle w:val="0"/>
        <w:spacing w:line="320" w:lineRule="exact"/>
        <w:ind w:firstLine="48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・満５０歳…昭和４５年４月２日～昭和４６年４月１日生まれ</w:t>
      </w:r>
    </w:p>
    <w:p>
      <w:pPr>
        <w:pStyle w:val="0"/>
        <w:spacing w:line="320" w:lineRule="exact"/>
        <w:ind w:firstLine="480" w:firstLineChars="200"/>
        <w:rPr>
          <w:rFonts w:hint="default" w:ascii="ＭＳ 明朝" w:hAnsi="ＭＳ 明朝"/>
          <w:sz w:val="22"/>
        </w:rPr>
      </w:pPr>
      <w:r>
        <w:rPr>
          <w:rFonts w:hint="eastAsia" w:ascii="HG丸ｺﾞｼｯｸM-PRO" w:hAnsi="HG丸ｺﾞｼｯｸM-PRO" w:eastAsia="HG丸ｺﾞｼｯｸM-PRO"/>
        </w:rPr>
        <w:t>・満６０歳…昭和３５年４月２日～昭和３６年４月１日生まれ</w:t>
      </w:r>
      <w:bookmarkStart w:id="0" w:name="_GoBack"/>
      <w:bookmarkEnd w:id="0"/>
    </w:p>
    <w:p>
      <w:pPr>
        <w:pStyle w:val="0"/>
        <w:spacing w:line="320" w:lineRule="exact"/>
        <w:rPr>
          <w:rFonts w:hint="default" w:ascii="ＭＳ 明朝" w:hAnsi="ＭＳ 明朝"/>
          <w:b w:val="1"/>
        </w:rPr>
      </w:pPr>
    </w:p>
    <w:p>
      <w:pPr>
        <w:pStyle w:val="0"/>
        <w:spacing w:line="320" w:lineRule="exact"/>
        <w:rPr>
          <w:rFonts w:hint="default" w:ascii="ＭＳ 明朝" w:hAnsi="ＭＳ 明朝"/>
          <w:b w:val="1"/>
        </w:rPr>
      </w:pPr>
    </w:p>
    <w:p>
      <w:pPr>
        <w:pStyle w:val="0"/>
        <w:spacing w:line="320" w:lineRule="exact"/>
        <w:rPr>
          <w:rFonts w:hint="default" w:ascii="HGS創英角ｺﾞｼｯｸUB" w:hAnsi="HGS創英角ｺﾞｼｯｸUB" w:eastAsia="HGS創英角ｺﾞｼｯｸUB"/>
        </w:rPr>
      </w:pPr>
      <w:r>
        <w:rPr>
          <w:rFonts w:hint="eastAsia" w:ascii="HGS創英角ｺﾞｼｯｸUB" w:hAnsi="HGS創英角ｺﾞｼｯｸUB" w:eastAsia="HGS創英角ｺﾞｼｯｸUB"/>
        </w:rPr>
        <w:t>＜後期高齢者短期人間ドック利用助成の対象者＞</w:t>
      </w:r>
    </w:p>
    <w:p>
      <w:pPr>
        <w:pStyle w:val="0"/>
        <w:spacing w:line="3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南丹市民の方で、下記の①～③全てに該当する方</w:t>
      </w:r>
    </w:p>
    <w:p>
      <w:pPr>
        <w:pStyle w:val="0"/>
        <w:spacing w:line="320" w:lineRule="exact"/>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①　京都府後期高齢者医療広域連合の被保険者である方</w:t>
      </w:r>
    </w:p>
    <w:p>
      <w:pPr>
        <w:pStyle w:val="0"/>
        <w:spacing w:line="320" w:lineRule="exact"/>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②　納期到来の後期高齢者医療保険料を完納している方</w:t>
      </w:r>
    </w:p>
    <w:p>
      <w:pPr>
        <w:pStyle w:val="0"/>
        <w:spacing w:line="320" w:lineRule="exact"/>
        <w:ind w:firstLine="240" w:firstLineChars="100"/>
        <w:rPr>
          <w:rFonts w:hint="default" w:ascii="ＭＳ 明朝" w:hAnsi="ＭＳ 明朝"/>
          <w:sz w:val="22"/>
        </w:rPr>
      </w:pPr>
      <w:r>
        <w:rPr>
          <w:rFonts w:hint="eastAsia" w:ascii="HG丸ｺﾞｼｯｸM-PRO" w:hAnsi="HG丸ｺﾞｼｯｸM-PRO" w:eastAsia="HG丸ｺﾞｼｯｸM-PRO"/>
        </w:rPr>
        <w:t>③　</w:t>
      </w:r>
      <w:r>
        <w:rPr>
          <w:rFonts w:hint="eastAsia" w:ascii="HG丸ｺﾞｼｯｸM-PRO" w:hAnsi="HG丸ｺﾞｼｯｸM-PRO" w:eastAsia="HG丸ｺﾞｼｯｸM-PRO"/>
          <w:u w:val="single" w:color="auto"/>
        </w:rPr>
        <w:t>当該年度に南丹市市民健診を受けていない方</w:t>
      </w:r>
    </w:p>
    <w:p>
      <w:pPr>
        <w:pStyle w:val="0"/>
        <w:jc w:val="left"/>
        <w:rPr>
          <w:rFonts w:hint="default" w:ascii="ＭＳ 明朝" w:hAnsi="ＭＳ 明朝"/>
          <w:sz w:val="22"/>
        </w:rPr>
      </w:pPr>
    </w:p>
    <w:p>
      <w:pPr>
        <w:pStyle w:val="0"/>
        <w:spacing w:line="3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●指定医療機関のお問合せ先・申込先</w:t>
      </w:r>
    </w:p>
    <w:tbl>
      <w:tblPr>
        <w:tblStyle w:val="28"/>
        <w:tblW w:w="9869" w:type="dxa"/>
        <w:tblInd w:w="250" w:type="dxa"/>
        <w:tblLayout w:type="fixed"/>
        <w:tblLook w:firstRow="1" w:lastRow="0" w:firstColumn="1" w:lastColumn="0" w:noHBand="0" w:noVBand="1" w:val="04A0"/>
      </w:tblPr>
      <w:tblGrid>
        <w:gridCol w:w="5103"/>
        <w:gridCol w:w="4766"/>
      </w:tblGrid>
      <w:tr>
        <w:trPr/>
        <w:tc>
          <w:tcPr>
            <w:tcW w:w="5103" w:type="dxa"/>
            <w:shd w:val="clear" w:color="auto" w:themeFill="background1" w:themeFillTint="FF" w:themeFillShade="D9"/>
            <w:vAlign w:val="top"/>
          </w:tcPr>
          <w:p>
            <w:pPr>
              <w:pStyle w:val="0"/>
              <w:spacing w:line="3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指定医療機関</w:t>
            </w:r>
          </w:p>
        </w:tc>
        <w:tc>
          <w:tcPr>
            <w:tcW w:w="4766" w:type="dxa"/>
            <w:shd w:val="clear" w:color="auto" w:themeFill="background1" w:themeFillTint="FF" w:themeFillShade="D9"/>
            <w:vAlign w:val="top"/>
          </w:tcPr>
          <w:p>
            <w:pPr>
              <w:pStyle w:val="0"/>
              <w:spacing w:line="3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電　　話</w:t>
            </w:r>
          </w:p>
        </w:tc>
      </w:tr>
      <w:tr>
        <w:trPr>
          <w:trHeight w:val="672" w:hRule="atLeast"/>
        </w:trPr>
        <w:tc>
          <w:tcPr>
            <w:tcW w:w="5103" w:type="dxa"/>
            <w:vAlign w:val="center"/>
          </w:tcPr>
          <w:p>
            <w:pPr>
              <w:pStyle w:val="0"/>
              <w:ind w:firstLine="240" w:firstLineChars="100"/>
              <w:rPr>
                <w:rFonts w:hint="default" w:asciiTheme="majorEastAsia" w:hAnsiTheme="majorEastAsia" w:eastAsiaTheme="majorEastAsia"/>
              </w:rPr>
            </w:pPr>
            <w:r>
              <w:rPr>
                <w:rFonts w:hint="eastAsia" w:asciiTheme="majorEastAsia" w:hAnsiTheme="majorEastAsia" w:eastAsiaTheme="majorEastAsia"/>
              </w:rPr>
              <w:t>明治国際医療大学附属病院</w:t>
            </w:r>
          </w:p>
        </w:tc>
        <w:tc>
          <w:tcPr>
            <w:tcW w:w="476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（０７７１）７２－１２２１</w:t>
            </w:r>
          </w:p>
        </w:tc>
      </w:tr>
      <w:tr>
        <w:trPr>
          <w:trHeight w:val="583" w:hRule="atLeast"/>
        </w:trPr>
        <w:tc>
          <w:tcPr>
            <w:tcW w:w="5103" w:type="dxa"/>
            <w:vAlign w:val="center"/>
          </w:tcPr>
          <w:p>
            <w:pPr>
              <w:pStyle w:val="0"/>
              <w:ind w:firstLine="240" w:firstLineChars="100"/>
              <w:rPr>
                <w:rFonts w:hint="eastAsia" w:asciiTheme="majorEastAsia" w:hAnsiTheme="majorEastAsia" w:eastAsiaTheme="majorEastAsia"/>
              </w:rPr>
            </w:pPr>
            <w:r>
              <w:rPr>
                <w:rFonts w:hint="eastAsia" w:asciiTheme="majorEastAsia" w:hAnsiTheme="majorEastAsia" w:eastAsiaTheme="majorEastAsia"/>
              </w:rPr>
              <w:t>京都中部総合医療センター</w:t>
            </w:r>
          </w:p>
          <w:p>
            <w:pPr>
              <w:pStyle w:val="0"/>
              <w:ind w:firstLine="240" w:firstLineChars="100"/>
              <w:rPr>
                <w:rFonts w:hint="default" w:asciiTheme="majorEastAsia" w:hAnsiTheme="majorEastAsia" w:eastAsiaTheme="majorEastAsia"/>
              </w:rPr>
            </w:pPr>
            <w:r>
              <w:rPr>
                <w:rFonts w:hint="eastAsia" w:asciiTheme="majorEastAsia" w:hAnsiTheme="majorEastAsia" w:eastAsiaTheme="majorEastAsia"/>
              </w:rPr>
              <w:t>（健診センター直通）</w:t>
            </w:r>
          </w:p>
        </w:tc>
        <w:tc>
          <w:tcPr>
            <w:tcW w:w="476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（０７７１）４２－２５６６</w:t>
            </w:r>
          </w:p>
        </w:tc>
      </w:tr>
      <w:tr>
        <w:trPr>
          <w:trHeight w:val="555" w:hRule="atLeast"/>
        </w:trPr>
        <w:tc>
          <w:tcPr>
            <w:tcW w:w="5103" w:type="dxa"/>
            <w:vAlign w:val="center"/>
          </w:tcPr>
          <w:p>
            <w:pPr>
              <w:pStyle w:val="0"/>
              <w:ind w:firstLine="240" w:firstLineChars="100"/>
              <w:rPr>
                <w:rFonts w:hint="default" w:asciiTheme="majorEastAsia" w:hAnsiTheme="majorEastAsia" w:eastAsiaTheme="majorEastAsia"/>
              </w:rPr>
            </w:pPr>
            <w:r>
              <w:rPr>
                <w:rFonts w:hint="eastAsia" w:asciiTheme="majorEastAsia" w:hAnsiTheme="majorEastAsia" w:eastAsiaTheme="majorEastAsia"/>
              </w:rPr>
              <w:t>御池クリニック</w:t>
            </w:r>
          </w:p>
        </w:tc>
        <w:tc>
          <w:tcPr>
            <w:tcW w:w="476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（０７５）８２３－３０８０</w:t>
            </w:r>
          </w:p>
        </w:tc>
      </w:tr>
      <w:tr>
        <w:trPr>
          <w:trHeight w:val="547" w:hRule="atLeast"/>
        </w:trPr>
        <w:tc>
          <w:tcPr>
            <w:tcW w:w="5103" w:type="dxa"/>
            <w:vAlign w:val="center"/>
          </w:tcPr>
          <w:p>
            <w:pPr>
              <w:pStyle w:val="0"/>
              <w:ind w:firstLine="240" w:firstLineChars="100"/>
              <w:rPr>
                <w:rFonts w:hint="default" w:asciiTheme="majorEastAsia" w:hAnsiTheme="majorEastAsia" w:eastAsiaTheme="majorEastAsia"/>
              </w:rPr>
            </w:pPr>
            <w:r>
              <w:rPr>
                <w:rFonts w:hint="eastAsia" w:asciiTheme="majorEastAsia" w:hAnsiTheme="majorEastAsia" w:eastAsiaTheme="majorEastAsia"/>
              </w:rPr>
              <w:t>四条烏丸クリニック</w:t>
            </w:r>
          </w:p>
        </w:tc>
        <w:tc>
          <w:tcPr>
            <w:tcW w:w="476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（０１２０）０１２－７７０</w:t>
            </w:r>
          </w:p>
        </w:tc>
      </w:tr>
      <w:tr>
        <w:trPr>
          <w:trHeight w:val="577" w:hRule="atLeast"/>
        </w:trPr>
        <w:tc>
          <w:tcPr>
            <w:tcW w:w="5103" w:type="dxa"/>
            <w:vAlign w:val="center"/>
          </w:tcPr>
          <w:p>
            <w:pPr>
              <w:pStyle w:val="0"/>
              <w:ind w:firstLine="240" w:firstLineChars="100"/>
              <w:rPr>
                <w:rFonts w:hint="default" w:asciiTheme="majorEastAsia" w:hAnsiTheme="majorEastAsia" w:eastAsiaTheme="majorEastAsia"/>
              </w:rPr>
            </w:pPr>
            <w:r>
              <w:rPr>
                <w:rFonts w:hint="eastAsia" w:asciiTheme="majorEastAsia" w:hAnsiTheme="majorEastAsia" w:eastAsiaTheme="majorEastAsia"/>
              </w:rPr>
              <w:t>京都工場保健会</w:t>
            </w:r>
          </w:p>
        </w:tc>
        <w:tc>
          <w:tcPr>
            <w:tcW w:w="476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（０１２０）８２３－０５３</w:t>
            </w:r>
          </w:p>
        </w:tc>
      </w:tr>
      <w:tr>
        <w:trPr>
          <w:trHeight w:val="577" w:hRule="atLeast"/>
        </w:trPr>
        <w:tc>
          <w:tcPr>
            <w:tcW w:w="5103" w:type="dxa"/>
            <w:vAlign w:val="center"/>
          </w:tcPr>
          <w:p>
            <w:pPr>
              <w:pStyle w:val="0"/>
              <w:ind w:firstLine="240" w:firstLineChars="100"/>
              <w:rPr>
                <w:rFonts w:hint="default" w:asciiTheme="majorEastAsia" w:hAnsiTheme="majorEastAsia" w:eastAsiaTheme="majorEastAsia"/>
              </w:rPr>
            </w:pPr>
            <w:r>
              <w:rPr>
                <w:rFonts w:hint="eastAsia" w:ascii="ＭＳ Ｐゴシック" w:hAnsi="ＭＳ Ｐゴシック" w:eastAsia="ＭＳ Ｐゴシック"/>
              </w:rPr>
              <w:t>京都予防医学センター</w:t>
            </w:r>
          </w:p>
        </w:tc>
        <w:tc>
          <w:tcPr>
            <w:tcW w:w="476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（０７５）８１１－９１３７</w:t>
            </w:r>
          </w:p>
        </w:tc>
      </w:tr>
      <w:tr>
        <w:trPr>
          <w:trHeight w:val="577" w:hRule="atLeast"/>
        </w:trPr>
        <w:tc>
          <w:tcPr>
            <w:tcW w:w="5103" w:type="dxa"/>
            <w:vAlign w:val="center"/>
          </w:tcPr>
          <w:p>
            <w:pPr>
              <w:pStyle w:val="0"/>
              <w:ind w:firstLine="240" w:firstLineChars="100"/>
              <w:jc w:val="left"/>
              <w:rPr>
                <w:rFonts w:hint="default" w:asciiTheme="majorEastAsia" w:hAnsiTheme="majorEastAsia" w:eastAsiaTheme="majorEastAsia"/>
              </w:rPr>
            </w:pPr>
            <w:r>
              <w:rPr>
                <w:rFonts w:hint="eastAsia" w:ascii="ＭＳ Ｐゴシック" w:hAnsi="ＭＳ Ｐゴシック" w:eastAsia="ＭＳ Ｐゴシック"/>
              </w:rPr>
              <w:t>京都桂病院</w:t>
            </w:r>
          </w:p>
        </w:tc>
        <w:tc>
          <w:tcPr>
            <w:tcW w:w="476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（０７５）３９２－３５０１</w:t>
            </w:r>
          </w:p>
        </w:tc>
      </w:tr>
    </w:tbl>
    <w:p>
      <w:pPr>
        <w:pStyle w:val="0"/>
        <w:spacing w:line="320" w:lineRule="exact"/>
        <w:rPr>
          <w:rFonts w:hint="default" w:ascii="HG丸ｺﾞｼｯｸM-PRO" w:hAnsi="HG丸ｺﾞｼｯｸM-PRO" w:eastAsia="HG丸ｺﾞｼｯｸM-PRO"/>
        </w:rPr>
      </w:pPr>
    </w:p>
    <w:p>
      <w:pPr>
        <w:pStyle w:val="0"/>
        <w:spacing w:line="3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オプション検査等の詳しい検査内容については、各指定医療機関にお問い合わせください。</w:t>
      </w:r>
    </w:p>
    <w:p>
      <w:pPr>
        <w:pStyle w:val="0"/>
        <w:spacing w:line="3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drawing>
          <wp:anchor distT="0" distB="0" distL="114300" distR="114300" simplePos="0" relativeHeight="2" behindDoc="0" locked="0" layoutInCell="1" hidden="0" allowOverlap="1">
            <wp:simplePos x="0" y="0"/>
            <wp:positionH relativeFrom="column">
              <wp:posOffset>4023360</wp:posOffset>
            </wp:positionH>
            <wp:positionV relativeFrom="paragraph">
              <wp:posOffset>67310</wp:posOffset>
            </wp:positionV>
            <wp:extent cx="2209800" cy="2147570"/>
            <wp:effectExtent l="0" t="0" r="0" b="0"/>
            <wp:wrapNone/>
            <wp:docPr id="1026" name="Picture 1" descr="C:\Users\14503\Desktop\キャライラスト（南丹）\3ninn.jpg"/>
            <a:graphic xmlns:a="http://schemas.openxmlformats.org/drawingml/2006/main">
              <a:graphicData uri="http://schemas.openxmlformats.org/drawingml/2006/picture">
                <pic:pic xmlns:pic="http://schemas.openxmlformats.org/drawingml/2006/picture">
                  <pic:nvPicPr>
                    <pic:cNvPr id="1026" name="Picture 1" descr="C:\Users\14503\Desktop\キャライラスト（南丹）\3ninn.jpg"/>
                    <pic:cNvPicPr>
                      <a:picLocks noChangeAspect="1" noChangeArrowheads="1"/>
                    </pic:cNvPicPr>
                  </pic:nvPicPr>
                  <pic:blipFill>
                    <a:blip r:embed="rId5"/>
                    <a:stretch>
                      <a:fillRect/>
                    </a:stretch>
                  </pic:blipFill>
                  <pic:spPr>
                    <a:xfrm>
                      <a:off x="0" y="0"/>
                      <a:ext cx="2209800" cy="2147570"/>
                    </a:xfrm>
                    <a:prstGeom prst="rect">
                      <a:avLst/>
                    </a:prstGeom>
                    <a:noFill/>
                    <a:ln>
                      <a:noFill/>
                    </a:ln>
                  </pic:spPr>
                </pic:pic>
              </a:graphicData>
            </a:graphic>
          </wp:anchor>
        </w:drawing>
      </w:r>
    </w:p>
    <w:p>
      <w:pPr>
        <w:pStyle w:val="0"/>
        <w:spacing w:line="320" w:lineRule="exact"/>
        <w:rPr>
          <w:rFonts w:hint="default" w:ascii="HG丸ｺﾞｼｯｸM-PRO" w:hAnsi="HG丸ｺﾞｼｯｸM-PRO" w:eastAsia="HG丸ｺﾞｼｯｸM-PRO"/>
        </w:rPr>
      </w:pPr>
    </w:p>
    <w:p>
      <w:pPr>
        <w:pStyle w:val="0"/>
        <w:spacing w:line="3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◇申込・問合せ先　市民課　保険年金係　　　</w:t>
      </w:r>
    </w:p>
    <w:p>
      <w:pPr>
        <w:pStyle w:val="0"/>
        <w:spacing w:line="320" w:lineRule="exact"/>
        <w:ind w:firstLine="2160" w:firstLineChars="900"/>
        <w:rPr>
          <w:rFonts w:hint="default" w:ascii="HG丸ｺﾞｼｯｸM-PRO" w:hAnsi="HG丸ｺﾞｼｯｸM-PRO" w:eastAsia="HG丸ｺﾞｼｯｸM-PRO"/>
        </w:rPr>
      </w:pPr>
      <w:r>
        <w:rPr>
          <w:rFonts w:hint="eastAsia" w:ascii="HG丸ｺﾞｼｯｸM-PRO" w:hAnsi="HG丸ｺﾞｼｯｸM-PRO" w:eastAsia="HG丸ｺﾞｼｯｸM-PRO"/>
        </w:rPr>
        <w:t>TEL</w:t>
      </w:r>
      <w:r>
        <w:rPr>
          <w:rFonts w:hint="eastAsia" w:ascii="HG丸ｺﾞｼｯｸM-PRO" w:hAnsi="HG丸ｺﾞｼｯｸM-PRO" w:eastAsia="HG丸ｺﾞｼｯｸM-PRO"/>
        </w:rPr>
        <w:t>（</w:t>
      </w:r>
      <w:r>
        <w:rPr>
          <w:rFonts w:hint="eastAsia" w:ascii="HG丸ｺﾞｼｯｸM-PRO" w:hAnsi="HG丸ｺﾞｼｯｸM-PRO" w:eastAsia="HG丸ｺﾞｼｯｸM-PRO"/>
        </w:rPr>
        <w:t>0771</w:t>
      </w:r>
      <w:r>
        <w:rPr>
          <w:rFonts w:hint="eastAsia" w:ascii="HG丸ｺﾞｼｯｸM-PRO" w:hAnsi="HG丸ｺﾞｼｯｸM-PRO" w:eastAsia="HG丸ｺﾞｼｯｸM-PRO"/>
        </w:rPr>
        <w:t>）</w:t>
      </w:r>
      <w:r>
        <w:rPr>
          <w:rFonts w:hint="eastAsia" w:ascii="HG丸ｺﾞｼｯｸM-PRO" w:hAnsi="HG丸ｺﾞｼｯｸM-PRO" w:eastAsia="HG丸ｺﾞｼｯｸM-PRO"/>
        </w:rPr>
        <w:t>68-0011</w:t>
      </w:r>
    </w:p>
    <w:p>
      <w:pPr>
        <w:pStyle w:val="0"/>
        <w:spacing w:line="320" w:lineRule="exact"/>
        <w:ind w:firstLine="3600" w:firstLineChars="1500"/>
        <w:rPr>
          <w:rFonts w:hint="default" w:ascii="HG丸ｺﾞｼｯｸM-PRO" w:hAnsi="HG丸ｺﾞｼｯｸM-PRO" w:eastAsia="HG丸ｺﾞｼｯｸM-PRO"/>
        </w:rPr>
      </w:pPr>
    </w:p>
    <w:p>
      <w:pPr>
        <w:pStyle w:val="0"/>
        <w:spacing w:line="320" w:lineRule="exact"/>
        <w:ind w:firstLine="3600" w:firstLineChars="1500"/>
        <w:rPr>
          <w:rFonts w:hint="default" w:ascii="HG丸ｺﾞｼｯｸM-PRO" w:hAnsi="HG丸ｺﾞｼｯｸM-PRO" w:eastAsia="HG丸ｺﾞｼｯｸM-PRO"/>
        </w:rPr>
      </w:pPr>
    </w:p>
    <w:sectPr>
      <w:pgSz w:w="11906" w:h="16838"/>
      <w:pgMar w:top="851" w:right="851" w:bottom="397" w:left="1134" w:header="851" w:footer="992"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character" w:styleId="18">
    <w:name w:val="Hyperlink"/>
    <w:next w:val="18"/>
    <w:link w:val="0"/>
    <w:uiPriority w:val="0"/>
    <w:rPr>
      <w:color w:val="0000FF"/>
      <w:u w:val="single" w:color="auto"/>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2</Pages>
  <Words>3</Words>
  <Characters>1443</Characters>
  <Application>JUST Note</Application>
  <Lines>936</Lines>
  <Paragraphs>100</Paragraphs>
  <Company>南丹市</Company>
  <CharactersWithSpaces>1464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　　務　　連　　絡</dc:title>
  <dc:creator>南丹市</dc:creator>
  <cp:lastModifiedBy>Administrator</cp:lastModifiedBy>
  <cp:lastPrinted>2020-06-08T02:51:27Z</cp:lastPrinted>
  <dcterms:created xsi:type="dcterms:W3CDTF">2020-02-27T01:52:00Z</dcterms:created>
  <dcterms:modified xsi:type="dcterms:W3CDTF">2020-03-30T00:18:29Z</dcterms:modified>
  <cp:revision>4</cp:revision>
</cp:coreProperties>
</file>