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介護予防認知症対応型通所介護</w:t>
      </w:r>
    </w:p>
    <w:p>
      <w:pPr>
        <w:pStyle w:val="0"/>
        <w:jc w:val="center"/>
        <w:rPr>
          <w:rFonts w:hint="default"/>
          <w:sz w:val="40"/>
        </w:rPr>
      </w:pPr>
    </w:p>
    <w:p>
      <w:pPr>
        <w:pStyle w:val="0"/>
        <w:jc w:val="center"/>
        <w:rPr>
          <w:rFonts w:hint="default"/>
        </w:rPr>
      </w:pPr>
    </w:p>
    <w:p>
      <w:pPr>
        <w:pStyle w:val="0"/>
        <w:rPr>
          <w:rFonts w:hint="eastAsia"/>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rPr>
          <w:rFonts w:hint="eastAsia"/>
        </w:rPr>
        <w:sectPr>
          <w:headerReference r:id="rId5" w:type="default"/>
          <w:footerReference r:id="rId6" w:type="default"/>
          <w:pgSz w:w="11907" w:h="16840"/>
          <w:pgMar w:top="1134" w:right="1020" w:bottom="1134" w:left="1020" w:header="783" w:footer="567" w:gutter="0"/>
          <w:pgNumType w:start="1"/>
          <w:cols w:space="720"/>
          <w:titlePg w:val="1"/>
          <w:textDirection w:val="lrTb"/>
          <w:docGrid w:type="lines" w:linePitch="260"/>
        </w:sectPr>
      </w:pP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6"/>
        <w:gridCol w:w="5214"/>
        <w:gridCol w:w="450"/>
        <w:gridCol w:w="2070"/>
      </w:tblGrid>
      <w:tr>
        <w:trPr>
          <w:trHeight w:val="189"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6"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23"/>
              <w:wordWrap w:val="1"/>
              <w:jc w:val="center"/>
              <w:rPr>
                <w:rFonts w:hint="eastAsia" w:ascii="ＭＳ ゴシック" w:hAnsi="ＭＳ ゴシック"/>
                <w:color w:val="auto"/>
                <w:w w:val="80"/>
              </w:rPr>
            </w:pPr>
            <w:r>
              <w:rPr>
                <w:rFonts w:hint="eastAsia" w:ascii="ＭＳ ゴシック" w:hAnsi="ＭＳ ゴシック"/>
                <w:color w:val="auto"/>
                <w:w w:val="80"/>
                <w:sz w:val="14"/>
              </w:rPr>
              <w:t>チェック</w:t>
            </w:r>
          </w:p>
        </w:tc>
        <w:tc>
          <w:tcPr>
            <w:tcW w:w="521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備考</w:t>
            </w:r>
          </w:p>
        </w:tc>
      </w:tr>
      <w:tr>
        <w:trPr>
          <w:trHeight w:val="3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50"/>
              </w:rPr>
              <w:t>＜法第１１５条の１３第１項＞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るか。</w:t>
            </w:r>
          </w:p>
          <w:p>
            <w:pPr>
              <w:pStyle w:val="0"/>
              <w:ind w:left="184" w:hanging="184" w:hangingChars="100"/>
              <w:rPr>
                <w:rFonts w:hint="eastAsia" w:ascii="ＭＳ ゴシック" w:hAnsi="ＭＳ ゴシック" w:eastAsia="ＭＳ ゴシック"/>
                <w:color w:val="auto"/>
                <w:spacing w:val="2"/>
                <w:w w:val="50"/>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spacing w:val="2"/>
                <w:w w:val="50"/>
              </w:rPr>
              <w:t>◆平１８厚令３６第４条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第１の２</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z w:val="16"/>
              </w:rPr>
              <w:t>暴力団の排除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0"/>
              <w:autoSpaceDE w:val="0"/>
              <w:autoSpaceDN w:val="0"/>
              <w:adjustRightInd w:val="0"/>
              <w:ind w:left="180" w:hanging="180" w:hangingChars="100"/>
              <w:jc w:val="left"/>
              <w:rPr>
                <w:rFonts w:hint="default" w:ascii="ＭＳ ゴシック" w:hAnsi="ＭＳ ゴシック" w:eastAsia="ＭＳ ゴシック"/>
                <w:color w:val="auto"/>
                <w:kern w:val="0"/>
              </w:rPr>
            </w:pPr>
          </w:p>
          <w:p>
            <w:pPr>
              <w:pStyle w:val="0"/>
              <w:autoSpaceDE w:val="0"/>
              <w:autoSpaceDN w:val="0"/>
              <w:adjustRightInd w:val="0"/>
              <w:ind w:left="180" w:hanging="180" w:hangingChars="1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kern w:val="0"/>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3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第２</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人員に関する基準</w:t>
            </w:r>
          </w:p>
          <w:p>
            <w:pPr>
              <w:pStyle w:val="23"/>
              <w:spacing w:line="240" w:lineRule="auto"/>
              <w:jc w:val="center"/>
              <w:rPr>
                <w:rFonts w:hint="eastAsia"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法第１１５条の１４第１項</w:t>
            </w:r>
            <w:r>
              <w:rPr>
                <w:rFonts w:hint="eastAsia" w:ascii="ＭＳ ゴシック" w:hAnsi="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認知症対応型通所介護事業の主眼事項第２の全てを、介護予防認知症対応型通所介護事業に準用する。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ただし、「認知症対応型通所介護」は「介護予防認知症対応型通所介護」と、「介護予防認知症対応型通所介護」は「認知症対応型通所介護」と、「地域密着型介護予防サービス基準第５条」を「地域密着型サービス基準第</w:t>
            </w:r>
            <w:r>
              <w:rPr>
                <w:rFonts w:hint="eastAsia" w:ascii="ＭＳ ゴシック" w:hAnsi="ＭＳ ゴシック"/>
                <w:color w:val="auto"/>
              </w:rPr>
              <w:t>42</w:t>
            </w:r>
            <w:r>
              <w:rPr>
                <w:rFonts w:hint="eastAsia" w:ascii="ＭＳ ゴシック" w:hAnsi="ＭＳ ゴシック"/>
                <w:color w:val="auto"/>
              </w:rPr>
              <w:t>条」と読み替える。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kern w:val="2"/>
              </w:rPr>
              <w:t>　</w:t>
            </w:r>
            <w:r>
              <w:rPr>
                <w:rFonts w:hint="eastAsia" w:ascii="ＭＳ ゴシック" w:hAnsi="ＭＳ ゴシック"/>
                <w:color w:val="auto"/>
                <w:w w:val="50"/>
                <w:kern w:val="2"/>
              </w:rPr>
              <w:t>◆平１８厚令３６第５条</w:t>
            </w:r>
            <w:r>
              <w:rPr>
                <w:rFonts w:hint="eastAsia" w:ascii="ＭＳ ゴシック" w:hAnsi="ＭＳ ゴシック"/>
                <w:color w:val="auto"/>
                <w:w w:val="50"/>
              </w:rPr>
              <w:t>、</w:t>
            </w:r>
            <w:r>
              <w:rPr>
                <w:rFonts w:hint="eastAsia" w:ascii="ＭＳ ゴシック" w:hAnsi="ＭＳ ゴシック"/>
                <w:color w:val="auto"/>
                <w:w w:val="50"/>
                <w:kern w:val="2"/>
              </w:rPr>
              <w:t>６条、平１８解釈通知第４</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第３</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設備に関する基準</w:t>
            </w:r>
          </w:p>
          <w:p>
            <w:pPr>
              <w:pStyle w:val="23"/>
              <w:spacing w:line="240" w:lineRule="auto"/>
              <w:jc w:val="center"/>
              <w:rPr>
                <w:rFonts w:hint="default"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法第１１５条の１４第２項</w:t>
            </w:r>
            <w:r>
              <w:rPr>
                <w:rFonts w:hint="eastAsia" w:ascii="ＭＳ ゴシック" w:hAnsi="ＭＳ ゴシック"/>
                <w:color w:val="auto"/>
              </w:rPr>
              <w:t>&gt;</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認知症対応型通所介護事業の主眼事項第３の全てを、介護予防認知症対応型通所介護事業に準用する。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ただし、「認知症対応型通所介護」は「介護予防認知症対応型通所介護」と、「介護予防認知症対応型通所介護」は「認知症対応型通所介護」と、「地域密着型介護予防サービス基準第７条」を「地域密着型サービス基準第</w:t>
            </w:r>
            <w:r>
              <w:rPr>
                <w:rFonts w:hint="eastAsia" w:ascii="ＭＳ ゴシック" w:hAnsi="ＭＳ ゴシック"/>
                <w:color w:val="auto"/>
              </w:rPr>
              <w:t>44</w:t>
            </w:r>
            <w:r>
              <w:rPr>
                <w:rFonts w:hint="eastAsia" w:ascii="ＭＳ ゴシック" w:hAnsi="ＭＳ ゴシック"/>
                <w:color w:val="auto"/>
              </w:rPr>
              <w:t>条」と読み替える。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kern w:val="2"/>
              </w:rPr>
              <w:t>◆平１８厚令３６第７条</w:t>
            </w:r>
            <w:r>
              <w:rPr>
                <w:rFonts w:hint="eastAsia" w:ascii="ＭＳ ゴシック" w:hAnsi="ＭＳ ゴシック"/>
                <w:color w:val="auto"/>
                <w:w w:val="50"/>
              </w:rPr>
              <w:t>、</w:t>
            </w:r>
            <w:r>
              <w:rPr>
                <w:rFonts w:hint="eastAsia" w:ascii="ＭＳ ゴシック" w:hAnsi="ＭＳ ゴシック"/>
                <w:color w:val="auto"/>
                <w:w w:val="50"/>
                <w:kern w:val="2"/>
              </w:rPr>
              <w:t>◆平１８解釈通知第４</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第４</w:t>
            </w:r>
          </w:p>
          <w:p>
            <w:pPr>
              <w:pStyle w:val="23"/>
              <w:spacing w:line="240" w:lineRule="auto"/>
              <w:rPr>
                <w:rFonts w:hint="eastAsia" w:ascii="ＭＳ ゴシック" w:hAnsi="ＭＳ ゴシック"/>
                <w:color w:val="auto"/>
              </w:rPr>
            </w:pPr>
            <w:r>
              <w:rPr>
                <w:rFonts w:hint="eastAsia" w:ascii="ＭＳ ゴシック" w:hAnsi="ＭＳ ゴシック"/>
                <w:color w:val="auto"/>
              </w:rPr>
              <w:t>　運営に関する基準</w:t>
            </w:r>
          </w:p>
          <w:p>
            <w:pPr>
              <w:pStyle w:val="23"/>
              <w:spacing w:line="240" w:lineRule="auto"/>
              <w:jc w:val="center"/>
              <w:rPr>
                <w:rFonts w:hint="default" w:ascii="ＭＳ ゴシック" w:hAnsi="ＭＳ ゴシック"/>
                <w:color w:val="auto"/>
                <w:spacing w:val="0"/>
              </w:rPr>
            </w:pPr>
            <w:r>
              <w:rPr>
                <w:rFonts w:hint="eastAsia" w:ascii="ＭＳ ゴシック" w:hAnsi="ＭＳ ゴシック"/>
                <w:color w:val="auto"/>
              </w:rPr>
              <w:t>&lt;</w:t>
            </w:r>
            <w:r>
              <w:rPr>
                <w:rFonts w:hint="eastAsia" w:ascii="ＭＳ ゴシック" w:hAnsi="ＭＳ ゴシック"/>
                <w:color w:val="auto"/>
                <w:w w:val="50"/>
              </w:rPr>
              <w:t>法第１１５条の１４第２項</w:t>
            </w:r>
            <w:r>
              <w:rPr>
                <w:rFonts w:hint="eastAsia" w:ascii="ＭＳ ゴシック" w:hAnsi="ＭＳ ゴシック"/>
                <w:color w:val="auto"/>
              </w:rPr>
              <w:t>&gt;</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以下の項目を除く項目で、認知症対応型通所介護事業の主眼事項</w:t>
            </w:r>
          </w:p>
          <w:p>
            <w:pPr>
              <w:pStyle w:val="0"/>
              <w:ind w:left="180" w:leftChars="100"/>
              <w:rPr>
                <w:rFonts w:hint="eastAsia" w:ascii="ＭＳ ゴシック" w:hAnsi="ＭＳ ゴシック" w:eastAsia="ＭＳ ゴシック"/>
                <w:color w:val="auto"/>
              </w:rPr>
            </w:pPr>
            <w:r>
              <w:rPr>
                <w:rFonts w:hint="eastAsia" w:ascii="ＭＳ ゴシック" w:hAnsi="ＭＳ ゴシック" w:eastAsia="ＭＳ ゴシック"/>
                <w:color w:val="auto"/>
              </w:rPr>
              <w:t>第４「運営に関する基準」のうち、１から７、９から</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17</w:t>
            </w:r>
            <w:r>
              <w:rPr>
                <w:rFonts w:hint="eastAsia" w:ascii="ＭＳ ゴシック" w:hAnsi="ＭＳ ゴシック" w:eastAsia="ＭＳ ゴシック"/>
                <w:color w:val="auto"/>
              </w:rPr>
              <w:t>から</w:t>
            </w:r>
            <w:r>
              <w:rPr>
                <w:rFonts w:hint="eastAsia" w:ascii="ＭＳ ゴシック" w:hAnsi="ＭＳ ゴシック" w:eastAsia="ＭＳ ゴシック"/>
                <w:color w:val="auto"/>
              </w:rPr>
              <w:t>19</w:t>
            </w:r>
            <w:r>
              <w:rPr>
                <w:rFonts w:hint="eastAsia" w:ascii="ＭＳ ゴシック" w:hAnsi="ＭＳ ゴシック" w:eastAsia="ＭＳ ゴシック"/>
                <w:color w:val="auto"/>
              </w:rPr>
              <w:t>及び</w:t>
            </w:r>
            <w:r>
              <w:rPr>
                <w:rFonts w:hint="eastAsia" w:ascii="ＭＳ ゴシック" w:hAnsi="ＭＳ ゴシック" w:eastAsia="ＭＳ ゴシック"/>
                <w:color w:val="auto"/>
              </w:rPr>
              <w:t>21</w:t>
            </w:r>
            <w:r>
              <w:rPr>
                <w:rFonts w:hint="eastAsia" w:ascii="ＭＳ ゴシック" w:hAnsi="ＭＳ ゴシック" w:eastAsia="ＭＳ ゴシック"/>
                <w:color w:val="auto"/>
              </w:rPr>
              <w:t>から</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は、介護予防認知症対応型通所介護事業に準用する。</w:t>
            </w:r>
          </w:p>
          <w:p>
            <w:pPr>
              <w:pStyle w:val="0"/>
              <w:ind w:left="180" w:left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ただし、「認知症対応型通所介護」は「介護予防認知症対応型通所介護」と、「居宅介護支援」は「介護予防支援」と、「要介護認定」は「要支援認定」と、「居宅サービス計画」は「介護予防サービス計画」と、「要介護状態の程度を増進させたと認められるとき」は「要支援状態の程度を増進させたと認められるとき又は要介護状態になったと認められるとき」と読み替え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１　地域密着型介護予防サービス費の支給を受けるた</w:t>
            </w:r>
            <w:r>
              <w:rPr>
                <w:rFonts w:hint="eastAsia" w:ascii="ＭＳ ゴシック" w:hAnsi="ＭＳ ゴシック"/>
                <w:color w:val="auto"/>
                <w:kern w:val="2"/>
              </w:rPr>
              <w:t>めの援助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spacing w:val="2"/>
              </w:rPr>
              <w:t>□　サービスの提供の開始に際し</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2"/>
              </w:rPr>
              <w:t>利用申込者が施行規則第</w:t>
            </w:r>
            <w:r>
              <w:rPr>
                <w:rFonts w:hint="eastAsia" w:ascii="ＭＳ ゴシック" w:hAnsi="ＭＳ ゴシック" w:eastAsia="ＭＳ ゴシック"/>
                <w:color w:val="auto"/>
                <w:spacing w:val="2"/>
              </w:rPr>
              <w:t>85</w:t>
            </w:r>
            <w:r>
              <w:rPr>
                <w:rFonts w:hint="eastAsia" w:ascii="ＭＳ ゴシック" w:hAnsi="ＭＳ ゴシック" w:eastAsia="ＭＳ ゴシック"/>
                <w:color w:val="auto"/>
                <w:spacing w:val="2"/>
              </w:rPr>
              <w:t>条の２各号のいずれにも該当しないときは</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2"/>
              </w:rPr>
              <w:t>当該利用申込者又はその家族に対し</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2"/>
              </w:rPr>
              <w:t>介護予防サービス計画の作成を介護予防支援事業者に依頼する旨を市町村に対して届け出ること等により</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2"/>
              </w:rPr>
              <w:t>地域密着型介護予防サービス費の支給を受けることができる旨を説明するとともに</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2"/>
              </w:rPr>
              <w:t>介護予防支援事業者に関する情報を提供することその他の地域密着型介護予防サービス費の支給を受けるために必要な援助を行っているか。　　</w:t>
            </w:r>
            <w:r>
              <w:rPr>
                <w:rFonts w:hint="eastAsia" w:ascii="ＭＳ ゴシック" w:hAnsi="ＭＳ ゴシック" w:eastAsia="ＭＳ ゴシック"/>
                <w:color w:val="auto"/>
                <w:spacing w:val="2"/>
                <w:w w:val="50"/>
              </w:rPr>
              <w:t>◆平１８厚令３６第１８条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２　利用料等の受領　　　</w:t>
            </w:r>
            <w:r>
              <w:rPr>
                <w:rFonts w:hint="eastAsia" w:ascii="ＭＳ ゴシック" w:hAnsi="ＭＳ ゴシック"/>
                <w:color w:val="auto"/>
              </w:rPr>
              <w:t>1</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2</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3</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4</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5</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6</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7</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法定代理受領サービスに該当するサービスを提供した際には、その利用者から利用料の一部として、当該サービスに係る地域密着型介護予防サービス費用基準額から当該事業者に支払われる介護予防サービス費の額を控除して得た額の支払を受けているか。</w:t>
            </w:r>
          </w:p>
          <w:p>
            <w:pPr>
              <w:pStyle w:val="23"/>
              <w:spacing w:line="240" w:lineRule="auto"/>
              <w:rPr>
                <w:rFonts w:hint="default" w:ascii="ＭＳ ゴシック" w:hAnsi="ＭＳ ゴシック"/>
                <w:color w:val="auto"/>
                <w:spacing w:val="0"/>
                <w:w w:val="50"/>
                <w:kern w:val="2"/>
              </w:rPr>
            </w:pPr>
            <w:r>
              <w:rPr>
                <w:rFonts w:hint="eastAsia" w:ascii="ＭＳ ゴシック" w:hAnsi="ＭＳ ゴシック"/>
                <w:color w:val="auto"/>
              </w:rPr>
              <w:t>　　　</w:t>
            </w:r>
            <w:r>
              <w:rPr>
                <w:rFonts w:hint="eastAsia" w:ascii="ＭＳ ゴシック" w:hAnsi="ＭＳ ゴシック"/>
                <w:color w:val="auto"/>
                <w:spacing w:val="0"/>
                <w:w w:val="50"/>
                <w:kern w:val="2"/>
              </w:rPr>
              <w:t>◆平１８厚令３６第２２条第１項</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spacing w:val="0"/>
                <w:w w:val="50"/>
                <w:kern w:val="2"/>
              </w:rPr>
            </w:pPr>
            <w:r>
              <w:rPr>
                <w:rFonts w:hint="eastAsia" w:ascii="ＭＳ ゴシック" w:hAnsi="ＭＳ ゴシック"/>
                <w:color w:val="auto"/>
              </w:rPr>
              <w:t>□　法定代理受領サービスに該当しないサービスを提供した際にその利用者から支払を受ける利用料の額と、サービスに係る地域密着型介護予防サービス費用基準額との間に不合理な差額が生じていないか。　　</w:t>
            </w:r>
            <w:r>
              <w:rPr>
                <w:rFonts w:hint="eastAsia" w:ascii="ＭＳ ゴシック" w:hAnsi="ＭＳ ゴシック"/>
                <w:color w:val="auto"/>
                <w:spacing w:val="0"/>
                <w:w w:val="50"/>
                <w:kern w:val="2"/>
              </w:rPr>
              <w:t>◆平１８厚令３６第２２条第２項</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一方の管理経費の他方への転嫁等による不合理な差額を設けてはならない。　　</w:t>
            </w:r>
            <w:r>
              <w:rPr>
                <w:rFonts w:hint="eastAsia" w:ascii="ＭＳ ゴシック" w:hAnsi="ＭＳ ゴシック"/>
                <w:color w:val="auto"/>
                <w:w w:val="50"/>
              </w:rPr>
              <w:t>◆平１８解釈通知第３の一の４</w:t>
            </w:r>
            <w:r>
              <w:rPr>
                <w:rFonts w:hint="default" w:ascii="ＭＳ ゴシック" w:hAnsi="ＭＳ ゴシック"/>
                <w:color w:val="auto"/>
                <w:w w:val="50"/>
              </w:rPr>
              <w:t>(</w:t>
            </w:r>
            <w:r>
              <w:rPr>
                <w:rFonts w:hint="eastAsia" w:ascii="ＭＳ ゴシック" w:hAnsi="ＭＳ ゴシック"/>
                <w:color w:val="auto"/>
                <w:w w:val="50"/>
              </w:rPr>
              <w:t>１３</w:t>
            </w:r>
            <w:r>
              <w:rPr>
                <w:rFonts w:hint="default"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上記の支払を受ける額のほか、利用者から受けることができる以下の費用の額以外の額の支払を受けていないか。</w:t>
            </w:r>
            <w:r>
              <w:rPr>
                <w:rFonts w:hint="eastAsia" w:ascii="ＭＳ ゴシック" w:hAnsi="ＭＳ ゴシック"/>
                <w:color w:val="auto"/>
                <w:spacing w:val="0"/>
                <w:w w:val="50"/>
                <w:kern w:val="2"/>
                <w:sz w:val="16"/>
              </w:rPr>
              <w:t>◆平１８厚令３６第２２条第３項準用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ア　利用者の選定により通常の事業の実施地域以外の地域に居住する利用者に対して行う送迎に要する費用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イ　当該サービスに通常要する時間を超えるサービスであって利用者の選定に係るものの提供に伴い必要となる費用の範囲内において、通常のサービスに係る地域密着型介護予防サービス費用基準額を超える費用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食事の提供に要する費用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おむつ代</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ア～エに掲げるもののほか、指定介護予防認知症対応型通所介護の提供において提供される便宜のうち、日常生活においても通常必要となるものに係る費用であって、その利用者に負担させることが適当と認められる費用</w:t>
            </w:r>
          </w:p>
          <w:p>
            <w:pPr>
              <w:pStyle w:val="0"/>
              <w:rPr>
                <w:rFonts w:hint="default" w:ascii="ＭＳ ゴシック" w:hAnsi="ＭＳ ゴシック" w:eastAsia="ＭＳ ゴシック"/>
                <w:color w:val="auto"/>
              </w:rPr>
            </w:pPr>
          </w:p>
          <w:p>
            <w:pPr>
              <w:pStyle w:val="23"/>
              <w:spacing w:line="240" w:lineRule="auto"/>
              <w:ind w:left="368" w:hanging="368" w:hangingChars="200"/>
              <w:jc w:val="left"/>
              <w:rPr>
                <w:rFonts w:hint="default" w:ascii="ＭＳ ゴシック" w:hAnsi="ＭＳ ゴシック"/>
                <w:color w:val="auto"/>
              </w:rPr>
            </w:pPr>
            <w:r>
              <w:rPr>
                <w:rFonts w:hint="eastAsia" w:ascii="ＭＳ ゴシック" w:hAnsi="ＭＳ ゴシック"/>
                <w:color w:val="auto"/>
              </w:rPr>
              <w:t>　◎　保険給付となっているサービスと明確に区分されない曖昧な名目による費用の徴収は認められない。</w:t>
            </w:r>
            <w:r>
              <w:rPr>
                <w:rFonts w:hint="eastAsia" w:ascii="ＭＳ ゴシック" w:hAnsi="ＭＳ ゴシック"/>
                <w:color w:val="auto"/>
                <w:w w:val="50"/>
              </w:rPr>
              <w:t>◆平１８解釈通知第３の一の４（１３）③準用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エの費用の具体的な範囲については、別に通知された「通所介護等における日常生活に要する費用の取扱いについて」に沿って適切に取り扱うこと。　　</w:t>
            </w:r>
            <w:r>
              <w:rPr>
                <w:rFonts w:hint="eastAsia" w:ascii="ＭＳ ゴシック" w:hAnsi="ＭＳ ゴシック"/>
                <w:color w:val="auto"/>
                <w:w w:val="50"/>
              </w:rPr>
              <w:t>◆平１２解釈通知５４</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上記のウの費用については、「居住、滞在及び食事の提供に係る利用料等に関する指針」の定めるところによる。</w:t>
            </w:r>
            <w:r>
              <w:rPr>
                <w:rFonts w:hint="eastAsia" w:ascii="ＭＳ ゴシック" w:hAnsi="ＭＳ ゴシック"/>
                <w:color w:val="auto"/>
                <w:spacing w:val="0"/>
                <w:w w:val="50"/>
                <w:kern w:val="2"/>
              </w:rPr>
              <w:t>◆平１８厚令３６第２２条第４項準用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ア～オの費用の額に係るサービスの提供に当たっては、あらかじめ、利用者又はその家族に対し、当該サービスの内容及び費用について説明を行い、利用者の同意を得ているか。　</w:t>
            </w:r>
            <w:r>
              <w:rPr>
                <w:rFonts w:hint="eastAsia" w:ascii="ＭＳ ゴシック" w:hAnsi="ＭＳ ゴシック"/>
                <w:color w:val="auto"/>
                <w:spacing w:val="0"/>
                <w:w w:val="50"/>
                <w:kern w:val="2"/>
              </w:rPr>
              <w:t>◆平１８厚令３６第２２条第５項準用</w:t>
            </w:r>
          </w:p>
          <w:p>
            <w:pPr>
              <w:pStyle w:val="23"/>
              <w:spacing w:line="240" w:lineRule="auto"/>
              <w:ind w:firstLine="360" w:firstLineChars="200"/>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1"/>
              </w:rPr>
              <w:t>※　当該同意については、利用者及び事業者双方の保護の立場から、</w:t>
            </w:r>
            <w:r>
              <w:rPr>
                <w:rFonts w:hint="eastAsia" w:ascii="ＭＳ ゴシック" w:hAnsi="ＭＳ ゴシック"/>
                <w:color w:val="auto"/>
              </w:rPr>
              <w:t>当該サービスの内容及び費用の額を明示した文書に、利用者の署名を受けることにより行うものとする。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上記アからオに掲げる費用に係るサービス以外のもので、個人の希望を確認した上で提供されるものについても、同様の取扱いが適当である。　　</w:t>
            </w:r>
            <w:r>
              <w:rPr>
                <w:rFonts w:hint="eastAsia" w:ascii="ＭＳ ゴシック" w:hAnsi="ＭＳ ゴシック"/>
                <w:color w:val="auto"/>
                <w:w w:val="50"/>
              </w:rPr>
              <w:t>◆平１２老振７５、老健１２２連番</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サービス提供に要した費用につき、その支払を受ける際、次の領収証を交付しているか。　</w:t>
            </w:r>
            <w:r>
              <w:rPr>
                <w:rFonts w:hint="eastAsia" w:ascii="ＭＳ ゴシック" w:hAnsi="ＭＳ ゴシック"/>
                <w:color w:val="auto"/>
                <w:w w:val="50"/>
              </w:rPr>
              <w:t>◆法第４１条第８項準用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w w:val="50"/>
                <w:kern w:val="2"/>
              </w:rPr>
            </w:pPr>
            <w:r>
              <w:rPr>
                <w:rFonts w:hint="eastAsia" w:ascii="ＭＳ ゴシック" w:hAnsi="ＭＳ ゴシック"/>
                <w:color w:val="auto"/>
              </w:rPr>
              <w:t>□　領収証には、サービス提供について支払を受けた費用の額のうち、利用者負担額、食事の提供に要した費用の額及びその他の費用の額を区分して記載し、その他の費用の額についてはそれぞれ個別の費</w:t>
            </w:r>
            <w:r>
              <w:rPr>
                <w:rFonts w:hint="eastAsia" w:ascii="ＭＳ ゴシック" w:hAnsi="ＭＳ ゴシック"/>
                <w:color w:val="auto"/>
                <w:kern w:val="2"/>
              </w:rPr>
              <w:t>用ごとに区分して記載しているか。　</w:t>
            </w:r>
            <w:r>
              <w:rPr>
                <w:rFonts w:hint="eastAsia" w:ascii="ＭＳ ゴシック" w:hAnsi="ＭＳ ゴシック"/>
                <w:color w:val="auto"/>
                <w:w w:val="50"/>
                <w:kern w:val="2"/>
              </w:rPr>
              <w:t>◆施行規則第６５条準用</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p>
          <w:p>
            <w:pPr>
              <w:pStyle w:val="23"/>
              <w:spacing w:line="240" w:lineRule="auto"/>
              <w:ind w:left="180" w:hanging="180" w:hangingChars="100"/>
              <w:rPr>
                <w:rFonts w:hint="default" w:ascii="ＭＳ ゴシック" w:hAnsi="ＭＳ ゴシック"/>
                <w:color w:val="auto"/>
                <w:spacing w:val="0"/>
              </w:rPr>
            </w:pPr>
          </w:p>
          <w:p>
            <w:pPr>
              <w:pStyle w:val="23"/>
              <w:spacing w:line="240" w:lineRule="auto"/>
              <w:rPr>
                <w:rFonts w:hint="eastAsia" w:ascii="ＭＳ ゴシック" w:hAnsi="ＭＳ ゴシック"/>
                <w:color w:val="auto"/>
                <w:w w:val="9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w w:val="90"/>
              </w:rPr>
              <w:t>償還払の対象で</w:t>
            </w:r>
            <w:r>
              <w:rPr>
                <w:rFonts w:hint="eastAsia" w:ascii="ＭＳ ゴシック" w:hAnsi="ＭＳ ゴシック"/>
                <w:color w:val="auto"/>
                <w:w w:val="90"/>
              </w:rPr>
              <w:t>10</w:t>
            </w:r>
            <w:r>
              <w:rPr>
                <w:rFonts w:hint="eastAsia" w:ascii="ＭＳ ゴシック" w:hAnsi="ＭＳ ゴシック"/>
                <w:color w:val="auto"/>
                <w:w w:val="90"/>
              </w:rPr>
              <w:t>割徴収の例</w:t>
            </w:r>
            <w:r>
              <w:rPr>
                <w:rFonts w:hint="eastAsia" w:ascii="ＭＳ ゴシック" w:hAnsi="ＭＳ ゴシック"/>
                <w:color w:val="auto"/>
              </w:rPr>
              <w:t>：（有・無）</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その他利用料の内容：</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spacing w:val="-4"/>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事業所ごとに、以下の重要事項を内容とする運営規程を定めているか。　</w:t>
            </w:r>
            <w:r>
              <w:rPr>
                <w:rFonts w:hint="eastAsia" w:ascii="ＭＳ ゴシック" w:hAnsi="ＭＳ ゴシック"/>
                <w:color w:val="auto"/>
                <w:w w:val="50"/>
              </w:rPr>
              <w:t>◆平１８厚令３６第２７条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事業の目的及び運営の方針</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従業者の職種、員数及び職務の内容</w:t>
            </w:r>
          </w:p>
          <w:p>
            <w:pPr>
              <w:pStyle w:val="23"/>
              <w:spacing w:line="240" w:lineRule="auto"/>
              <w:ind w:left="54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営業日及び営業時間</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サービスの利用定員</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同時にサービスを受けることができる利用者の数の上限をいうものであること。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オ　サービスの内容及び利用料その他の費用の額</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「サービスの内容」については、入浴、食事の有無等のサービスの内容を指すものであること。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カ　通常の事業の実施地域</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客観的にその区域が特定されるものとする。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キ　サービス利用に当たっての留意事項</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　利用者がサービスの提供を受ける際に利用者側が留意すべき　　　事項（機能訓練室を利用する際の注意事項等）を指すものであ　　　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ク　緊急時等における対応方法</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ケ　非常災害対策</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　非常災害に関する具体的計画を指すものであること。</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◆平１８解釈通知第３の一の４（２１）⑥準用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サ　その他運営に関する重要事項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重要事項説明書と不整合ないか。</w:t>
            </w: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auto"/>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□利用料・その他費用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第５</w:t>
            </w: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　介護予防のための効果的な支援の方法に関する基準</w:t>
            </w:r>
          </w:p>
          <w:p>
            <w:pPr>
              <w:pStyle w:val="23"/>
              <w:jc w:val="center"/>
              <w:rPr>
                <w:rFonts w:hint="default" w:ascii="ＭＳ ゴシック" w:hAnsi="ＭＳ ゴシック"/>
                <w:color w:val="auto"/>
                <w:spacing w:val="0"/>
                <w:sz w:val="16"/>
              </w:rPr>
            </w:pPr>
            <w:r>
              <w:rPr>
                <w:rFonts w:hint="eastAsia" w:ascii="ＭＳ ゴシック" w:hAnsi="ＭＳ ゴシック"/>
                <w:color w:val="auto"/>
                <w:sz w:val="16"/>
              </w:rPr>
              <w:t>&lt;</w:t>
            </w:r>
            <w:r>
              <w:rPr>
                <w:rFonts w:hint="eastAsia" w:ascii="ＭＳ ゴシック" w:hAnsi="ＭＳ ゴシック"/>
                <w:color w:val="auto"/>
                <w:w w:val="50"/>
                <w:sz w:val="16"/>
              </w:rPr>
              <w:t>法１１５条の１３第１項</w:t>
            </w:r>
            <w:r>
              <w:rPr>
                <w:rFonts w:hint="eastAsia" w:ascii="ＭＳ ゴシック" w:hAnsi="ＭＳ ゴシック"/>
                <w:color w:val="auto"/>
                <w:sz w:val="16"/>
              </w:rPr>
              <w:t>&gt;</w:t>
            </w:r>
          </w:p>
          <w:p>
            <w:pPr>
              <w:pStyle w:val="23"/>
              <w:rPr>
                <w:rFonts w:hint="default" w:ascii="ＭＳ ゴシック" w:hAnsi="ＭＳ ゴシック"/>
                <w:color w:val="auto"/>
                <w:spacing w:val="0"/>
              </w:rPr>
            </w:pPr>
          </w:p>
          <w:p>
            <w:pPr>
              <w:pStyle w:val="23"/>
              <w:ind w:leftChars="0" w:hanging="162" w:hangingChars="90"/>
              <w:rPr>
                <w:rFonts w:hint="default" w:ascii="ＭＳ ゴシック" w:hAnsi="ＭＳ ゴシック"/>
                <w:color w:val="auto"/>
              </w:rPr>
            </w:pPr>
            <w:r>
              <w:rPr>
                <w:rFonts w:hint="eastAsia" w:ascii="ＭＳ ゴシック" w:hAnsi="ＭＳ ゴシック"/>
                <w:color w:val="auto"/>
                <w:spacing w:val="0"/>
              </w:rPr>
              <w:t>１　</w:t>
            </w:r>
            <w:r>
              <w:rPr>
                <w:rFonts w:hint="eastAsia" w:ascii="ＭＳ ゴシック" w:hAnsi="ＭＳ ゴシック"/>
                <w:color w:val="auto"/>
              </w:rPr>
              <w:t>基本取扱方</w:t>
            </w:r>
            <w:r>
              <w:rPr>
                <w:rFonts w:hint="eastAsia" w:ascii="ＭＳ ゴシック" w:hAnsi="ＭＳ ゴシック"/>
                <w:color w:val="auto"/>
                <w:kern w:val="2"/>
              </w:rPr>
              <w:t>針</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kern w:val="2"/>
              </w:rPr>
            </w:pPr>
            <w:r>
              <w:rPr>
                <w:rFonts w:hint="eastAsia" w:ascii="ＭＳ ゴシック" w:hAnsi="ＭＳ ゴシック"/>
                <w:color w:val="auto"/>
              </w:rPr>
              <w:t>□　利用者の介護予防に資するよう、その目標を設定し、計画的に行</w:t>
            </w:r>
            <w:r>
              <w:rPr>
                <w:rFonts w:hint="eastAsia" w:ascii="ＭＳ ゴシック" w:hAnsi="ＭＳ ゴシック"/>
                <w:color w:val="auto"/>
                <w:kern w:val="2"/>
              </w:rPr>
              <w:t>われているか。　　</w:t>
            </w:r>
            <w:r>
              <w:rPr>
                <w:rFonts w:hint="eastAsia" w:ascii="ＭＳ ゴシック" w:hAnsi="ＭＳ ゴシック"/>
                <w:color w:val="auto"/>
                <w:w w:val="50"/>
                <w:kern w:val="2"/>
              </w:rPr>
              <w:t>◆平１８厚令３６第４１条第１項</w:t>
            </w:r>
          </w:p>
          <w:p>
            <w:pPr>
              <w:pStyle w:val="0"/>
              <w:rPr>
                <w:rFonts w:hint="eastAsia" w:ascii="ＭＳ ゴシック" w:hAnsi="ＭＳ ゴシック" w:eastAsia="ＭＳ ゴシック"/>
                <w:color w:val="auto"/>
                <w:w w:val="5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自らその提供するサービスの質の評価を行うとともに、常にその改善を図っているか。　　</w:t>
            </w:r>
            <w:r>
              <w:rPr>
                <w:rFonts w:hint="eastAsia" w:ascii="ＭＳ ゴシック" w:hAnsi="ＭＳ ゴシック" w:eastAsia="ＭＳ ゴシック"/>
                <w:color w:val="auto"/>
                <w:w w:val="50"/>
              </w:rPr>
              <w:t>◆平１８厚令３６第４１条第２項</w:t>
            </w:r>
          </w:p>
          <w:p>
            <w:pPr>
              <w:pStyle w:val="23"/>
              <w:spacing w:line="240" w:lineRule="auto"/>
              <w:ind w:firstLine="184" w:firstLineChars="100"/>
              <w:rPr>
                <w:rFonts w:hint="eastAsia" w:ascii="ＭＳ ゴシック" w:hAnsi="ＭＳ ゴシック"/>
                <w:color w:val="auto"/>
              </w:rPr>
            </w:pPr>
          </w:p>
          <w:p>
            <w:pPr>
              <w:pStyle w:val="23"/>
              <w:spacing w:line="240" w:lineRule="auto"/>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　提供されたサービスについては、介護予防認知症対応型通所介護計画に定める目標達成の度合いや利用者及びその家族の満足度等について常に評価を行うなど、その改善を図ること。</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w w:val="50"/>
              </w:rPr>
              <w:t>◆平１８解釈通知第４の三の１</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④</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サービスの提供に当たり、利用者ができる限り要介護状態とならないで自立した日常生活を営むことができるよう支援することを目的とするものであることを常に意識してサービスの提供に当たっているか。　　</w:t>
            </w:r>
            <w:r>
              <w:rPr>
                <w:rFonts w:hint="eastAsia" w:ascii="ＭＳ ゴシック" w:hAnsi="ＭＳ ゴシック"/>
                <w:color w:val="auto"/>
                <w:w w:val="50"/>
              </w:rPr>
              <w:t>◆平１８厚令３６第４１条第３項</w:t>
            </w:r>
          </w:p>
          <w:p>
            <w:pPr>
              <w:pStyle w:val="23"/>
              <w:spacing w:line="240" w:lineRule="auto"/>
              <w:ind w:left="184" w:hanging="184" w:hangingChars="100"/>
              <w:rPr>
                <w:rFonts w:hint="default" w:ascii="ＭＳ ゴシック" w:hAnsi="ＭＳ ゴシック"/>
                <w:color w:val="auto"/>
              </w:rPr>
            </w:pP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サービスの提供に当たっては、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うこと。　</w:t>
            </w:r>
            <w:r>
              <w:rPr>
                <w:rFonts w:hint="eastAsia" w:ascii="ＭＳ ゴシック" w:hAnsi="ＭＳ ゴシック" w:eastAsia="ＭＳ ゴシック"/>
                <w:color w:val="auto"/>
                <w:w w:val="50"/>
              </w:rPr>
              <w:t>◆平１８解釈通知第４の三の１（１）①</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利用者がその有する能力を最大限活用することができるような方法によるサービスの提供に努めているか。　</w:t>
            </w:r>
            <w:r>
              <w:rPr>
                <w:rFonts w:hint="eastAsia" w:ascii="ＭＳ ゴシック" w:hAnsi="ＭＳ ゴシック"/>
                <w:color w:val="auto"/>
                <w:w w:val="50"/>
              </w:rPr>
              <w:t>◆平１８厚令３６第４１条第４項</w:t>
            </w:r>
          </w:p>
          <w:p>
            <w:pPr>
              <w:pStyle w:val="23"/>
              <w:spacing w:line="240" w:lineRule="auto"/>
              <w:rPr>
                <w:rFonts w:hint="eastAsia" w:ascii="ＭＳ ゴシック" w:hAnsi="ＭＳ ゴシック"/>
                <w:color w:val="auto"/>
                <w:spacing w:val="0"/>
              </w:rPr>
            </w:pPr>
          </w:p>
          <w:p>
            <w:pPr>
              <w:pStyle w:val="23"/>
              <w:spacing w:line="240" w:lineRule="auto"/>
              <w:ind w:left="360" w:hanging="360" w:hangingChars="200"/>
              <w:rPr>
                <w:rFonts w:hint="eastAsia"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rPr>
              <w:t>◎　「利用者の自立の可能性を最大限引き出す支援を行う」ことを基本として、利用者のできる能力を阻害するような不適切なサービス提供をしないよう配慮すること。　</w:t>
            </w:r>
            <w:r>
              <w:rPr>
                <w:rFonts w:hint="eastAsia" w:ascii="ＭＳ ゴシック" w:hAnsi="ＭＳ ゴシック"/>
                <w:color w:val="auto"/>
                <w:w w:val="50"/>
              </w:rPr>
              <w:t>◆平１８解釈通知第４の三の１</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w w:val="50"/>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サービスの提供に当たり、利用者とのコミュニケーションを十分に図ることその他の様々な方法により、利用者が主体的に事業に参加するよう適切な働きかけに努めているか。　　</w:t>
            </w:r>
            <w:r>
              <w:rPr>
                <w:rFonts w:hint="eastAsia" w:ascii="ＭＳ ゴシック" w:hAnsi="ＭＳ ゴシック"/>
                <w:color w:val="auto"/>
                <w:w w:val="50"/>
              </w:rPr>
              <w:t>◆平１８厚令３６第４１条第５項</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自主点検：（有・無）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p>
            <w:pPr>
              <w:pStyle w:val="0"/>
              <w:rPr>
                <w:rFonts w:hint="eastAsia" w:ascii="ＭＳ ゴシック" w:hAnsi="ＭＳ ゴシック" w:eastAsia="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第三者評価：（有・無）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２　具体的取</w:t>
            </w:r>
            <w:r>
              <w:rPr>
                <w:rFonts w:hint="eastAsia" w:ascii="ＭＳ ゴシック" w:hAnsi="ＭＳ ゴシック"/>
                <w:color w:val="auto"/>
                <w:spacing w:val="1"/>
              </w:rPr>
              <w:t xml:space="preserve"> 1</w:t>
            </w:r>
            <w:r>
              <w:rPr>
                <w:rFonts w:hint="eastAsia" w:ascii="ＭＳ ゴシック" w:hAnsi="ＭＳ ゴシック"/>
                <w:color w:val="auto"/>
              </w:rPr>
              <w:t>扱方針</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2</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3</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1"/>
              </w:rPr>
            </w:pPr>
          </w:p>
          <w:p>
            <w:pPr>
              <w:pStyle w:val="23"/>
              <w:spacing w:line="240" w:lineRule="auto"/>
              <w:rPr>
                <w:rFonts w:hint="eastAsia" w:ascii="ＭＳ ゴシック" w:hAnsi="ＭＳ ゴシック"/>
                <w:color w:val="auto"/>
                <w:spacing w:val="1"/>
              </w:rPr>
            </w:pPr>
          </w:p>
          <w:p>
            <w:pPr>
              <w:pStyle w:val="23"/>
              <w:spacing w:line="240" w:lineRule="auto"/>
              <w:rPr>
                <w:rFonts w:hint="eastAsia" w:ascii="ＭＳ ゴシック" w:hAnsi="ＭＳ ゴシック"/>
                <w:color w:val="auto"/>
                <w:spacing w:val="1"/>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4</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1"/>
              </w:rPr>
            </w:pPr>
          </w:p>
          <w:p>
            <w:pPr>
              <w:pStyle w:val="23"/>
              <w:spacing w:line="240" w:lineRule="auto"/>
              <w:rPr>
                <w:rFonts w:hint="eastAsia" w:ascii="ＭＳ ゴシック" w:hAnsi="ＭＳ ゴシック"/>
                <w:color w:val="auto"/>
                <w:spacing w:val="1"/>
              </w:rPr>
            </w:pPr>
          </w:p>
          <w:p>
            <w:pPr>
              <w:pStyle w:val="23"/>
              <w:spacing w:line="240" w:lineRule="auto"/>
              <w:rPr>
                <w:rFonts w:hint="eastAsia" w:ascii="ＭＳ ゴシック" w:hAnsi="ＭＳ ゴシック"/>
                <w:color w:val="auto"/>
                <w:spacing w:val="1"/>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5</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1"/>
              </w:rPr>
            </w:pPr>
          </w:p>
          <w:p>
            <w:pPr>
              <w:pStyle w:val="23"/>
              <w:spacing w:line="240" w:lineRule="auto"/>
              <w:rPr>
                <w:rFonts w:hint="default" w:ascii="ＭＳ ゴシック" w:hAnsi="ＭＳ ゴシック"/>
                <w:color w:val="auto"/>
                <w:spacing w:val="1"/>
              </w:rPr>
            </w:pPr>
            <w:r>
              <w:rPr>
                <w:rFonts w:hint="eastAsia" w:ascii="ＭＳ ゴシック" w:hAnsi="ＭＳ ゴシック"/>
                <w:color w:val="auto"/>
                <w:spacing w:val="1"/>
              </w:rPr>
              <w:t xml:space="preserve">             </w:t>
            </w:r>
            <w:r>
              <w:rPr>
                <w:rFonts w:hint="eastAsia" w:ascii="ＭＳ ゴシック" w:hAnsi="ＭＳ ゴシック"/>
                <w:color w:val="auto"/>
              </w:rPr>
              <w:t>6</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7</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1"/>
              </w:rPr>
            </w:pPr>
          </w:p>
          <w:p>
            <w:pPr>
              <w:pStyle w:val="23"/>
              <w:spacing w:line="240" w:lineRule="auto"/>
              <w:rPr>
                <w:rFonts w:hint="eastAsia" w:ascii="ＭＳ ゴシック" w:hAnsi="ＭＳ ゴシック"/>
                <w:color w:val="auto"/>
                <w:spacing w:val="1"/>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8</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9</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xml:space="preserve">            10</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11</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12</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主治医又は歯科医師からの情報伝達やサービス担当者会議を通じる等の適切な方法により、利用者の心身の状況、その置かれている環境等利用者の日常生活全般の状況の的確な把握を行っているか。　　</w:t>
            </w:r>
            <w:r>
              <w:rPr>
                <w:rFonts w:hint="eastAsia" w:ascii="ＭＳ ゴシック" w:hAnsi="ＭＳ ゴシック"/>
                <w:color w:val="auto"/>
                <w:w w:val="50"/>
              </w:rPr>
              <w:t>◆平１８厚令３６第４２条第１号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w:t>
            </w:r>
            <w:r>
              <w:rPr>
                <w:rFonts w:hint="eastAsia" w:ascii="ＭＳ ゴシック" w:hAnsi="ＭＳ ゴシック"/>
                <w:color w:val="auto"/>
              </w:rPr>
              <w:t>1</w:t>
            </w:r>
            <w:r>
              <w:rPr>
                <w:rFonts w:hint="eastAsia" w:ascii="ＭＳ ゴシック" w:hAnsi="ＭＳ ゴシック"/>
                <w:color w:val="auto"/>
              </w:rPr>
              <w:t>に規定する利用者の日常生活全般の状況及び希望を踏まえて、指定介護予防認知症対応型通所介護の目標、当該目標を達成するための具体的なサービスの内容、所要時間、日程、サービスの提供を行う期間等を記載した介護予防認知症対応型通所介護計画を作成しているか。　　</w:t>
            </w:r>
            <w:r>
              <w:rPr>
                <w:rFonts w:hint="eastAsia" w:ascii="ＭＳ ゴシック" w:hAnsi="ＭＳ ゴシック"/>
                <w:color w:val="auto"/>
                <w:w w:val="50"/>
              </w:rPr>
              <w:t>◆平１８厚令３６第４２条第２号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介護予防認知症対応型通所介護計画は、既に介護予防サービス計画が作成されている場合は、当該計画の内容に沿って作成しているか。　　</w:t>
            </w:r>
            <w:r>
              <w:rPr>
                <w:rFonts w:hint="eastAsia" w:ascii="ＭＳ ゴシック" w:hAnsi="ＭＳ ゴシック"/>
                <w:color w:val="auto"/>
                <w:w w:val="50"/>
              </w:rPr>
              <w:t>◆平１８厚令３６第４２条第３号</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介護予防通認知症対応型所介護計画の作成後に介護予防サービス計画が作成された場合は当該介護予防認知症対応型通所介護計画が介護予防サービス計画に沿ったものであるか確認し、必要に応じて変更すること。　　</w:t>
            </w:r>
            <w:r>
              <w:rPr>
                <w:rFonts w:hint="eastAsia" w:ascii="ＭＳ ゴシック" w:hAnsi="ＭＳ ゴシック"/>
                <w:color w:val="auto"/>
                <w:w w:val="50"/>
              </w:rPr>
              <w:t>◆平１８解釈通知第４の三の１</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②</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管理者は、介護予防認知症対応型通所介護計画の作成に当たっては、その内容について利用者又はその家族に対して説明し、利用者の同意を得ているか。　　</w:t>
            </w:r>
            <w:r>
              <w:rPr>
                <w:rFonts w:hint="eastAsia" w:ascii="ＭＳ ゴシック" w:hAnsi="ＭＳ ゴシック"/>
                <w:color w:val="auto"/>
                <w:w w:val="50"/>
              </w:rPr>
              <w:t>◆平１８厚令３６第４２条第４号</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　◎　実施状況や評価についても説明を行うこと。</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◆平１８解釈通知第４の三の１</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管理者は、介護予防認知症対応型通所介護計画を作成した際には、当該介護予防認知症対応型通所介護計画を利用者に交付しているか。　　</w:t>
            </w:r>
            <w:r>
              <w:rPr>
                <w:rFonts w:hint="eastAsia" w:ascii="ＭＳ ゴシック" w:hAnsi="ＭＳ ゴシック"/>
                <w:color w:val="auto"/>
                <w:w w:val="50"/>
              </w:rPr>
              <w:t>◆平１８厚令３６第４２条第５号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サービスの提供に当たっては、介護予防認知症対応型通所介護計画に基づき、利用者が日常生活を営むのに必要な支援を行っているか。　　</w:t>
            </w:r>
            <w:r>
              <w:rPr>
                <w:rFonts w:hint="eastAsia" w:ascii="ＭＳ ゴシック" w:hAnsi="ＭＳ ゴシック"/>
                <w:color w:val="auto"/>
                <w:w w:val="50"/>
              </w:rPr>
              <w:t>◆平１８厚令３６第４２条第８号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color w:val="auto"/>
                <w:w w:val="50"/>
              </w:rPr>
              <w:t>◆平１８厚令３６第４２条第９号</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介護予防認知症対応型通所介護計画の目標及び内容等も含め説明すること。　　</w:t>
            </w:r>
            <w:r>
              <w:rPr>
                <w:rFonts w:hint="eastAsia" w:ascii="ＭＳ ゴシック" w:hAnsi="ＭＳ ゴシック"/>
                <w:color w:val="auto"/>
                <w:w w:val="50"/>
              </w:rPr>
              <w:t>◆平１８解釈通知第４の三の１</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サービスの提供に当たっては、介護技術の進歩に対応し、適切な介護技術をもって</w:t>
            </w:r>
            <w:bookmarkStart w:id="0" w:name="_GoBack"/>
            <w:bookmarkEnd w:id="0"/>
            <w:r>
              <w:rPr>
                <w:rFonts w:hint="eastAsia" w:ascii="ＭＳ ゴシック" w:hAnsi="ＭＳ ゴシック"/>
                <w:color w:val="auto"/>
              </w:rPr>
              <w:t>サービスの提供を行っているか。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◆平１８厚令３６第４２条第１０号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介護予防認知症対応型通所介護計画に基づくサービスの提供の開始時から、少なくとも一月に１回は、当該介護予防認知症対応型通所介護計画に係る利用者の状態、当該利用者に対するサービスの提供状況等について、当該サービスの提供に係る介護予防サービス計画を作成した指定介護予防支援事業者に報告するとともに、当該介護予防認知症対応型通所介護計画に記載したサービスの提供を行う期間が終了するまでに、少なくとも１回は当該介護予防認知症対応型通所介護計画の実施状況の把握（以下「モニタリング」という。）を行っているか。　</w:t>
            </w:r>
            <w:r>
              <w:rPr>
                <w:rFonts w:hint="eastAsia" w:ascii="ＭＳ ゴシック" w:hAnsi="ＭＳ ゴシック"/>
                <w:color w:val="auto"/>
                <w:w w:val="50"/>
              </w:rPr>
              <w:t>◆平１８厚令３６第４２条第１１号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管理者は、モニタリングの結果を記録し、当該記録を当該サービスの提供に係る介護予防サービス計画を作成した指定介護予防支援事業者に報告しているか。　　</w:t>
            </w:r>
            <w:r>
              <w:rPr>
                <w:rFonts w:hint="eastAsia" w:ascii="ＭＳ ゴシック" w:hAnsi="ＭＳ ゴシック"/>
                <w:color w:val="auto"/>
                <w:w w:val="50"/>
              </w:rPr>
              <w:t>◆平１８厚令３６第４２条第１２号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管理者は、モニタリングの結果を踏まえ、必要に応じて介護予防認知症対応型通所介護計画の変更を行っているか。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◆平１８厚令３６第４２条第１３号</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1</w:t>
            </w:r>
            <w:r>
              <w:rPr>
                <w:rFonts w:hint="eastAsia" w:ascii="ＭＳ ゴシック" w:hAnsi="ＭＳ ゴシック"/>
                <w:color w:val="auto"/>
              </w:rPr>
              <w:t>から</w:t>
            </w:r>
            <w:r>
              <w:rPr>
                <w:rFonts w:hint="eastAsia" w:ascii="ＭＳ ゴシック" w:hAnsi="ＭＳ ゴシック"/>
                <w:color w:val="auto"/>
              </w:rPr>
              <w:t>10</w:t>
            </w:r>
            <w:r>
              <w:rPr>
                <w:rFonts w:hint="eastAsia" w:ascii="ＭＳ ゴシック" w:hAnsi="ＭＳ ゴシック"/>
                <w:color w:val="auto"/>
              </w:rPr>
              <w:t>までの規定は、</w:t>
            </w:r>
            <w:r>
              <w:rPr>
                <w:rFonts w:hint="eastAsia" w:ascii="ＭＳ ゴシック" w:hAnsi="ＭＳ ゴシック"/>
                <w:color w:val="auto"/>
              </w:rPr>
              <w:t>11</w:t>
            </w:r>
            <w:r>
              <w:rPr>
                <w:rFonts w:hint="eastAsia" w:ascii="ＭＳ ゴシック" w:hAnsi="ＭＳ ゴシック"/>
                <w:color w:val="auto"/>
              </w:rPr>
              <w:t>に規定する介護予防認知症対応型通所介護計画の変更について準用する。　</w:t>
            </w:r>
            <w:r>
              <w:rPr>
                <w:rFonts w:hint="eastAsia" w:ascii="ＭＳ ゴシック" w:hAnsi="ＭＳ ゴシック"/>
                <w:color w:val="auto"/>
                <w:w w:val="50"/>
              </w:rPr>
              <w:t>◆平１８厚令３６第４２条第１４号</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介護予防認知症対応型通所介護計画：</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交付したことを確認で</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きる記録→</w:t>
            </w:r>
            <w:r>
              <w:rPr>
                <w:rFonts w:hint="eastAsia" w:ascii="ＭＳ ゴシック" w:hAnsi="ＭＳ ゴシック"/>
                <w:color w:val="auto"/>
              </w:rPr>
              <w:t>&lt;</w:t>
            </w:r>
            <w:r>
              <w:rPr>
                <w:rFonts w:hint="eastAsia" w:ascii="ＭＳ ゴシック" w:hAnsi="ＭＳ ゴシック"/>
                <w:color w:val="auto"/>
              </w:rPr>
              <w:t>有・無</w:t>
            </w:r>
            <w:r>
              <w:rPr>
                <w:rFonts w:hint="eastAsia" w:ascii="ＭＳ ゴシック" w:hAnsi="ＭＳ ゴシック"/>
                <w:color w:val="auto"/>
              </w:rPr>
              <w:t>&gt;</w:t>
            </w: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第３</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変更の届</w:t>
            </w:r>
            <w:r>
              <w:rPr>
                <w:rFonts w:hint="eastAsia" w:ascii="ＭＳ ゴシック" w:hAnsi="ＭＳ ゴシック" w:eastAsia="ＭＳ ゴシック"/>
                <w:color w:val="auto"/>
              </w:rPr>
              <w:t>出等</w:t>
            </w:r>
          </w:p>
          <w:p>
            <w:pPr>
              <w:pStyle w:val="0"/>
              <w:suppressAutoHyphens w:val="1"/>
              <w:kinsoku w:val="0"/>
              <w:autoSpaceDE w:val="0"/>
              <w:autoSpaceDN w:val="0"/>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法第１１５条の１５</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事業所の名称及び所在地その他施行規則第</w:t>
            </w:r>
            <w:r>
              <w:rPr>
                <w:rFonts w:hint="eastAsia" w:ascii="ＭＳ ゴシック" w:hAnsi="ＭＳ ゴシック"/>
                <w:color w:val="auto"/>
              </w:rPr>
              <w:t>140</w:t>
            </w:r>
            <w:r>
              <w:rPr>
                <w:rFonts w:hint="eastAsia" w:ascii="ＭＳ ゴシック" w:hAnsi="ＭＳ ゴシック"/>
                <w:color w:val="auto"/>
              </w:rPr>
              <w:t>条の</w:t>
            </w:r>
            <w:r>
              <w:rPr>
                <w:rFonts w:hint="eastAsia" w:ascii="ＭＳ ゴシック" w:hAnsi="ＭＳ ゴシック"/>
                <w:color w:val="auto"/>
              </w:rPr>
              <w:t>30</w:t>
            </w:r>
            <w:r>
              <w:rPr>
                <w:rFonts w:hint="eastAsia" w:ascii="ＭＳ ゴシック" w:hAnsi="ＭＳ ゴシック"/>
                <w:color w:val="auto"/>
              </w:rPr>
              <w:t>で定める事項に変更があったとき、又は当該事業を廃止し、休止し、若しくは再開したときは、同条で定めるところにより、</w:t>
            </w:r>
            <w:r>
              <w:rPr>
                <w:rFonts w:hint="eastAsia" w:ascii="ＭＳ ゴシック" w:hAnsi="ＭＳ ゴシック"/>
                <w:color w:val="auto"/>
              </w:rPr>
              <w:t>10</w:t>
            </w:r>
            <w:r>
              <w:rPr>
                <w:rFonts w:hint="eastAsia" w:ascii="ＭＳ ゴシック" w:hAnsi="ＭＳ ゴシック"/>
                <w:color w:val="auto"/>
              </w:rPr>
              <w:t>日以内に、その旨を南丹市長に届け出ているか。</w:t>
            </w:r>
          </w:p>
          <w:p>
            <w:pPr>
              <w:pStyle w:val="23"/>
              <w:spacing w:line="240" w:lineRule="auto"/>
              <w:rPr>
                <w:rFonts w:hint="eastAsia" w:ascii="ＭＳ ゴシック" w:hAnsi="ＭＳ ゴシック"/>
                <w:color w:val="auto"/>
                <w:spacing w:val="0"/>
              </w:rPr>
            </w:pPr>
          </w:p>
          <w:p>
            <w:pPr>
              <w:pStyle w:val="23"/>
              <w:wordWrap w:val="1"/>
              <w:spacing w:line="220" w:lineRule="exact"/>
              <w:ind w:left="184" w:hanging="184" w:hangingChars="100"/>
              <w:rPr>
                <w:rFonts w:hint="eastAsia" w:ascii="ＭＳ ゴシック" w:hAnsi="ＭＳ ゴシック"/>
                <w:color w:val="auto"/>
                <w:spacing w:val="0"/>
              </w:rPr>
            </w:pPr>
            <w:r>
              <w:rPr>
                <w:rFonts w:hint="eastAsia" w:ascii="ＭＳ ゴシック" w:hAnsi="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bl>
    <w:p>
      <w:pPr>
        <w:pStyle w:val="0"/>
        <w:rPr>
          <w:rFonts w:hint="eastAsia" w:ascii="ＭＳ ゴシック" w:hAnsi="ＭＳ ゴシック" w:eastAsia="ＭＳ ゴシック"/>
        </w:rPr>
      </w:pP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※「厚令」とは、「指定地域密着型サービスの事業の人員、設備及び運営に関する基準」（平成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14</w:t>
      </w:r>
      <w:r>
        <w:rPr>
          <w:rFonts w:hint="eastAsia" w:ascii="ＭＳ ゴシック" w:hAnsi="ＭＳ ゴシック" w:eastAsia="ＭＳ ゴシック"/>
        </w:rPr>
        <w:t>日　厚生労働省令第</w:t>
      </w:r>
      <w:r>
        <w:rPr>
          <w:rFonts w:hint="eastAsia" w:ascii="ＭＳ ゴシック" w:hAnsi="ＭＳ ゴシック" w:eastAsia="ＭＳ ゴシック"/>
        </w:rPr>
        <w:t>34</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※「解釈通知」とは「指定地域密着型サービス及び指定地域密着型介護予防サービスに関する基準について」（平成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31</w:t>
      </w:r>
      <w:r>
        <w:rPr>
          <w:rFonts w:hint="eastAsia" w:ascii="ＭＳ ゴシック" w:hAnsi="ＭＳ ゴシック" w:eastAsia="ＭＳ ゴシック"/>
        </w:rPr>
        <w:t>日　老計発第</w:t>
      </w:r>
      <w:r>
        <w:rPr>
          <w:rFonts w:hint="eastAsia" w:ascii="ＭＳ ゴシック" w:hAnsi="ＭＳ ゴシック" w:eastAsia="ＭＳ ゴシック"/>
        </w:rPr>
        <w:t>0331004</w:t>
      </w:r>
      <w:r>
        <w:rPr>
          <w:rFonts w:hint="eastAsia" w:ascii="ＭＳ ゴシック" w:hAnsi="ＭＳ ゴシック" w:eastAsia="ＭＳ ゴシック"/>
        </w:rPr>
        <w:t>号、老振発第</w:t>
      </w:r>
      <w:r>
        <w:rPr>
          <w:rFonts w:hint="eastAsia" w:ascii="ＭＳ ゴシック" w:hAnsi="ＭＳ ゴシック" w:eastAsia="ＭＳ ゴシック"/>
        </w:rPr>
        <w:t>0331004</w:t>
      </w:r>
      <w:r>
        <w:rPr>
          <w:rFonts w:hint="eastAsia" w:ascii="ＭＳ ゴシック" w:hAnsi="ＭＳ ゴシック" w:eastAsia="ＭＳ ゴシック"/>
        </w:rPr>
        <w:t>号、老老発第</w:t>
      </w:r>
      <w:r>
        <w:rPr>
          <w:rFonts w:hint="eastAsia" w:ascii="ＭＳ ゴシック" w:hAnsi="ＭＳ ゴシック" w:eastAsia="ＭＳ ゴシック"/>
        </w:rPr>
        <w:t>0331017</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※「市条例」とは、「南丹市指定地域密着型サービスの事業の人員、設備及び運営に関する基準を定める条例」（平成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22</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市予防条例」とは、「南丹市指定地域密着型介護予防サービスの事業の人員、設備及び運営並びに指定地域密着型介護予防サービスに係る介護予防のための効果的な支援の方法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p>
      <w:pPr>
        <w:pStyle w:val="0"/>
        <w:ind w:left="360" w:hanging="360" w:hangingChars="200"/>
        <w:rPr>
          <w:rFonts w:hint="eastAsia" w:ascii="ＭＳ ゴシック" w:hAnsi="ＭＳ ゴシック" w:eastAsia="ＭＳ ゴシック"/>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rPr>
    </w:pPr>
    <w:r>
      <w:rPr>
        <w:rFonts w:hint="eastAsia" w:ascii="ＭＳ ゴシック" w:hAnsi="ＭＳ ゴシック" w:eastAsia="ＭＳ ゴシック"/>
      </w:rPr>
      <w:t>介護予防認知症対応型通所介護</w:t>
    </w:r>
    <w:r>
      <w:rPr>
        <w:rStyle w:val="18"/>
        <w:rFonts w:hint="eastAsia" w:ascii="ＭＳ ゴシック" w:hAnsi="ＭＳ ゴシック" w:eastAsia="ＭＳ ゴシック"/>
      </w:rPr>
      <w:t>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ＭＳ ゴシック" w:hAnsi="ＭＳ ゴシック" w:eastAsia="ＭＳ ゴシック"/>
      </w:rPr>
      <w:t>4</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【介護予防認知症対応型通所介護】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name w:val="Revision"/>
    <w:next w:val="26"/>
    <w:link w:val="0"/>
    <w:uiPriority w:val="0"/>
    <w:rPr>
      <w:kern w:val="2"/>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6</Pages>
  <Words>54</Words>
  <Characters>6211</Characters>
  <Application>JUST Note</Application>
  <Lines>584</Lines>
  <Paragraphs>192</Paragraphs>
  <Company>南丹市役所</Company>
  <CharactersWithSpaces>6608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2021-08-24T00:48:32Z</cp:lastPrinted>
  <dcterms:created xsi:type="dcterms:W3CDTF">2020-01-23T08:15:00Z</dcterms:created>
  <dcterms:modified xsi:type="dcterms:W3CDTF">2021-10-05T04:24:10Z</dcterms:modified>
  <cp:revision>7</cp:revision>
</cp:coreProperties>
</file>