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embeddings/Microsoft_Excel_Worksheet1.xlsx" ContentType="application/vnd.openxmlformats-officedocument.spreadsheetml.sheet"/>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Meiryo UI" w:hAnsi="Meiryo UI" w:eastAsia="Meiryo UI"/>
          <w:sz w:val="72"/>
        </w:rPr>
      </w:pPr>
    </w:p>
    <w:p>
      <w:pPr>
        <w:pStyle w:val="0"/>
        <w:rPr>
          <w:rFonts w:hint="default" w:ascii="Meiryo UI" w:hAnsi="Meiryo UI" w:eastAsia="Meiryo UI"/>
          <w:sz w:val="72"/>
        </w:rPr>
      </w:pPr>
    </w:p>
    <w:p>
      <w:pPr>
        <w:pStyle w:val="0"/>
        <w:rPr>
          <w:rFonts w:hint="default" w:ascii="Meiryo UI" w:hAnsi="Meiryo UI" w:eastAsia="Meiryo UI"/>
          <w:sz w:val="72"/>
        </w:rPr>
      </w:pPr>
    </w:p>
    <w:p>
      <w:pPr>
        <w:pStyle w:val="0"/>
        <w:jc w:val="center"/>
        <w:rPr>
          <w:rFonts w:hint="default" w:ascii="Meiryo UI" w:hAnsi="Meiryo UI" w:eastAsia="Meiryo UI"/>
          <w:sz w:val="72"/>
        </w:rPr>
      </w:pPr>
      <w:r>
        <w:rPr>
          <w:rFonts w:hint="eastAsia" w:ascii="Meiryo UI" w:hAnsi="Meiryo UI" w:eastAsia="Meiryo UI"/>
          <w:sz w:val="72"/>
        </w:rPr>
        <w:t>南丹市空家等対策計画</w:t>
      </w:r>
    </w:p>
    <w:p>
      <w:pPr>
        <w:pStyle w:val="0"/>
        <w:rPr>
          <w:rFonts w:hint="default" w:ascii="Meiryo UI" w:hAnsi="Meiryo UI" w:eastAsia="Meiryo UI"/>
        </w:rPr>
      </w:pPr>
    </w:p>
    <w:p>
      <w:pPr>
        <w:pStyle w:val="0"/>
        <w:jc w:val="center"/>
        <w:rPr>
          <w:rFonts w:hint="default" w:ascii="Meiryo UI" w:hAnsi="Meiryo UI" w:eastAsia="Meiryo UI"/>
          <w:sz w:val="48"/>
        </w:rPr>
      </w:pPr>
      <w:bookmarkStart w:id="0" w:name="_GoBack"/>
      <w:bookmarkEnd w:id="0"/>
    </w:p>
    <w:p>
      <w:pPr>
        <w:pStyle w:val="0"/>
        <w:jc w:val="center"/>
        <w:rPr>
          <w:rFonts w:hint="default" w:ascii="Meiryo UI" w:hAnsi="Meiryo UI" w:eastAsia="Meiryo UI"/>
          <w:sz w:val="48"/>
        </w:rPr>
      </w:pPr>
    </w:p>
    <w:p>
      <w:pPr>
        <w:pStyle w:val="0"/>
        <w:rPr>
          <w:rFonts w:hint="default" w:ascii="Meiryo UI" w:hAnsi="Meiryo UI" w:eastAsia="Meiryo UI"/>
          <w:sz w:val="48"/>
        </w:rPr>
      </w:pPr>
    </w:p>
    <w:p>
      <w:pPr>
        <w:pStyle w:val="0"/>
        <w:rPr>
          <w:rFonts w:hint="default" w:ascii="Meiryo UI" w:hAnsi="Meiryo UI" w:eastAsia="Meiryo UI"/>
          <w:sz w:val="48"/>
        </w:rPr>
      </w:pPr>
    </w:p>
    <w:p>
      <w:pPr>
        <w:pStyle w:val="0"/>
        <w:jc w:val="center"/>
        <w:rPr>
          <w:rFonts w:hint="default" w:ascii="Meiryo UI" w:hAnsi="Meiryo UI" w:eastAsia="Meiryo UI"/>
          <w:sz w:val="48"/>
        </w:rPr>
      </w:pPr>
      <w:r>
        <w:rPr>
          <w:rFonts w:hint="eastAsia" w:ascii="Meiryo UI" w:hAnsi="Meiryo UI" w:eastAsia="Meiryo UI"/>
          <w:sz w:val="48"/>
        </w:rPr>
        <w:t>令和３年３月</w:t>
      </w:r>
    </w:p>
    <w:p>
      <w:pPr>
        <w:pStyle w:val="0"/>
        <w:jc w:val="center"/>
        <w:rPr>
          <w:rFonts w:hint="default" w:ascii="Meiryo UI" w:hAnsi="Meiryo UI" w:eastAsia="Meiryo UI"/>
          <w:sz w:val="48"/>
        </w:rPr>
      </w:pPr>
      <w:r>
        <w:rPr>
          <w:rFonts w:hint="eastAsia" w:ascii="Meiryo UI" w:hAnsi="Meiryo UI" w:eastAsia="Meiryo UI"/>
          <w:sz w:val="48"/>
        </w:rPr>
        <w:t>京都府南丹市</w:t>
      </w:r>
    </w:p>
    <w:p>
      <w:pPr>
        <w:pStyle w:val="0"/>
        <w:widowControl w:val="1"/>
        <w:jc w:val="left"/>
        <w:rPr>
          <w:rFonts w:hint="default"/>
        </w:rPr>
      </w:pPr>
      <w:r>
        <w:rPr>
          <w:rFonts w:hint="default"/>
        </w:rPr>
        <w:br w:type="page"/>
      </w:r>
    </w:p>
    <w:sdt>
      <w:sdtPr>
        <w:rPr>
          <w:rFonts w:hint="default" w:asciiTheme="minorHAnsi" w:hAnsiTheme="minorHAnsi" w:eastAsiaTheme="minorEastAsia"/>
          <w:b w:val="0"/>
          <w:color w:val="auto"/>
          <w:kern w:val="2"/>
          <w:sz w:val="21"/>
        </w:rPr>
        <w:id w:val="851388766"/>
        <w:docPartObj>
          <w:docPartGallery w:val="Table of Contents"/>
          <w:docPartUnique/>
        </w:docPartObj>
      </w:sdtPr>
      <w:sdtEndPr>
        <w:rPr>
          <w:rFonts w:hint="default"/>
        </w:rPr>
      </w:sdtEndPr>
      <w:sdtContent>
        <w:p>
          <w:pPr>
            <w:pStyle w:val="23"/>
            <w:jc w:val="center"/>
            <w:rPr>
              <w:rFonts w:hint="default"/>
            </w:rPr>
          </w:pPr>
          <w:r>
            <w:rPr>
              <w:rFonts w:hint="eastAsia"/>
              <w:color w:val="auto"/>
            </w:rPr>
            <w:t>目　次</w:t>
          </w:r>
        </w:p>
        <w:p>
          <w:pPr>
            <w:pStyle w:val="26"/>
            <w:tabs>
              <w:tab w:val="right" w:leader="dot" w:pos="8504"/>
            </w:tabs>
            <w:rPr>
              <w:rFonts w:hint="eastAsia"/>
            </w:rPr>
          </w:pPr>
          <w:r>
            <w:rPr>
              <w:rFonts w:hint="eastAsia"/>
            </w:rPr>
            <w:fldChar w:fldCharType="begin"/>
          </w:r>
          <w:r>
            <w:rPr>
              <w:rFonts w:hint="eastAsia"/>
            </w:rPr>
            <w:instrText xml:space="preserve">TOC \u \o "1-3" \h \z </w:instrText>
          </w:r>
          <w:r>
            <w:rPr>
              <w:rFonts w:hint="eastAsia"/>
            </w:rPr>
            <w:fldChar w:fldCharType="separate"/>
          </w:r>
          <w:r>
            <w:rPr>
              <w:rFonts w:hint="eastAsia"/>
            </w:rPr>
            <w:fldChar w:fldCharType="begin"/>
          </w:r>
          <w:r>
            <w:rPr>
              <w:rFonts w:hint="eastAsia"/>
            </w:rPr>
            <w:instrText xml:space="preserve"> HYPERLINK  \l "_Toc6376"</w:instrText>
          </w:r>
          <w:r>
            <w:rPr>
              <w:rFonts w:hint="eastAsia"/>
            </w:rPr>
            <w:fldChar w:fldCharType="separate"/>
          </w:r>
          <w:r>
            <w:rPr>
              <w:rFonts w:hint="eastAsia"/>
            </w:rPr>
            <w:t>１．計画の趣旨　　　　　　　　　　　　　　　　　　　　　　　</w:t>
          </w:r>
          <w:r>
            <w:rPr>
              <w:rFonts w:hint="eastAsia"/>
            </w:rPr>
            <w:tab/>
          </w:r>
          <w:r>
            <w:rPr>
              <w:rFonts w:hint="eastAsia"/>
            </w:rPr>
            <w:fldChar w:fldCharType="end"/>
          </w:r>
          <w:r>
            <w:rPr>
              <w:rFonts w:hint="eastAsia"/>
            </w:rPr>
            <w:fldChar w:fldCharType="begin"/>
          </w:r>
          <w:r>
            <w:rPr>
              <w:rFonts w:hint="eastAsia"/>
            </w:rPr>
            <w:instrText xml:space="preserve">PageRef _Toc6376 \h </w:instrText>
          </w:r>
          <w:r>
            <w:rPr>
              <w:rFonts w:hint="eastAsia"/>
            </w:rPr>
            <w:fldChar w:fldCharType="separate"/>
          </w:r>
          <w:r>
            <w:rPr>
              <w:rFonts w:hint="eastAsia"/>
            </w:rPr>
            <w:t>1</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"_Toc30186"</w:instrText>
          </w:r>
          <w:r>
            <w:rPr>
              <w:rFonts w:hint="eastAsia"/>
            </w:rPr>
            <w:fldChar w:fldCharType="separate"/>
          </w:r>
          <w:r>
            <w:rPr>
              <w:rFonts w:hint="eastAsia"/>
            </w:rPr>
            <w:t>（１）背景と目的</w:t>
          </w:r>
          <w:r>
            <w:rPr>
              <w:rFonts w:hint="eastAsia"/>
            </w:rPr>
            <w:tab/>
          </w:r>
          <w:r>
            <w:rPr>
              <w:rFonts w:hint="eastAsia"/>
            </w:rPr>
            <w:fldChar w:fldCharType="end"/>
          </w:r>
          <w:r>
            <w:rPr>
              <w:rFonts w:hint="eastAsia"/>
            </w:rPr>
            <w:fldChar w:fldCharType="begin"/>
          </w:r>
          <w:r>
            <w:rPr>
              <w:rFonts w:hint="eastAsia"/>
            </w:rPr>
            <w:instrText xml:space="preserve">PageRef _Toc30186 \h </w:instrText>
          </w:r>
          <w:r>
            <w:rPr>
              <w:rFonts w:hint="eastAsia"/>
            </w:rPr>
            <w:fldChar w:fldCharType="separate"/>
          </w:r>
          <w:r>
            <w:rPr>
              <w:rFonts w:hint="eastAsia"/>
            </w:rPr>
            <w:t>1</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"_Toc16161"</w:instrText>
          </w:r>
          <w:r>
            <w:rPr>
              <w:rFonts w:hint="eastAsia"/>
            </w:rPr>
            <w:fldChar w:fldCharType="separate"/>
          </w:r>
          <w:r>
            <w:rPr>
              <w:rFonts w:hint="eastAsia"/>
            </w:rPr>
            <w:t>（２）位置づけ</w:t>
          </w:r>
          <w:r>
            <w:rPr>
              <w:rFonts w:hint="eastAsia"/>
            </w:rPr>
            <w:tab/>
          </w:r>
          <w:r>
            <w:rPr>
              <w:rFonts w:hint="eastAsia"/>
            </w:rPr>
            <w:fldChar w:fldCharType="end"/>
          </w:r>
          <w:r>
            <w:rPr>
              <w:rFonts w:hint="eastAsia"/>
            </w:rPr>
            <w:fldChar w:fldCharType="begin"/>
          </w:r>
          <w:r>
            <w:rPr>
              <w:rFonts w:hint="eastAsia"/>
            </w:rPr>
            <w:instrText xml:space="preserve">PageRef _Toc16161 \h </w:instrText>
          </w:r>
          <w:r>
            <w:rPr>
              <w:rFonts w:hint="eastAsia"/>
            </w:rPr>
            <w:fldChar w:fldCharType="separate"/>
          </w:r>
          <w:r>
            <w:rPr>
              <w:rFonts w:hint="eastAsia"/>
            </w:rPr>
            <w:t>1</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"_Toc7669"</w:instrText>
          </w:r>
          <w:r>
            <w:rPr>
              <w:rFonts w:hint="eastAsia"/>
            </w:rPr>
            <w:fldChar w:fldCharType="separate"/>
          </w:r>
          <w:r>
            <w:rPr>
              <w:rFonts w:hint="eastAsia"/>
            </w:rPr>
            <w:t>２．南丹市の空家等の現状　　　　　　　　　　　　　　　　　　</w:t>
          </w:r>
          <w:r>
            <w:rPr>
              <w:rFonts w:hint="eastAsia"/>
            </w:rPr>
            <w:tab/>
          </w:r>
          <w:r>
            <w:rPr>
              <w:rFonts w:hint="eastAsia"/>
            </w:rPr>
            <w:fldChar w:fldCharType="end"/>
          </w:r>
          <w:r>
            <w:rPr>
              <w:rFonts w:hint="eastAsia"/>
            </w:rPr>
            <w:fldChar w:fldCharType="begin"/>
          </w:r>
          <w:r>
            <w:rPr>
              <w:rFonts w:hint="eastAsia"/>
            </w:rPr>
            <w:instrText xml:space="preserve">PageRef _Toc7669 \h </w:instrText>
          </w:r>
          <w:r>
            <w:rPr>
              <w:rFonts w:hint="eastAsia"/>
            </w:rPr>
            <w:fldChar w:fldCharType="separate"/>
          </w:r>
          <w:r>
            <w:rPr>
              <w:rFonts w:hint="eastAsia"/>
            </w:rPr>
            <w:t>2</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"_Toc128"</w:instrText>
          </w:r>
          <w:r>
            <w:rPr>
              <w:rFonts w:hint="eastAsia"/>
            </w:rPr>
            <w:fldChar w:fldCharType="separate"/>
          </w:r>
          <w:r>
            <w:rPr>
              <w:rFonts w:hint="eastAsia"/>
            </w:rPr>
            <w:t>（１）南丹市の人口、世帯</w:t>
          </w:r>
          <w:r>
            <w:rPr>
              <w:rFonts w:hint="eastAsia"/>
            </w:rPr>
            <w:tab/>
          </w:r>
          <w:r>
            <w:rPr>
              <w:rFonts w:hint="eastAsia"/>
            </w:rPr>
            <w:fldChar w:fldCharType="end"/>
          </w:r>
          <w:r>
            <w:rPr>
              <w:rFonts w:hint="eastAsia"/>
            </w:rPr>
            <w:fldChar w:fldCharType="begin"/>
          </w:r>
          <w:r>
            <w:rPr>
              <w:rFonts w:hint="eastAsia"/>
            </w:rPr>
            <w:instrText xml:space="preserve">PageRef _Toc128 \h </w:instrText>
          </w:r>
          <w:r>
            <w:rPr>
              <w:rFonts w:hint="eastAsia"/>
            </w:rPr>
            <w:fldChar w:fldCharType="separate"/>
          </w:r>
          <w:r>
            <w:rPr>
              <w:rFonts w:hint="eastAsia"/>
            </w:rPr>
            <w:t>2</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"_Toc4221"</w:instrText>
          </w:r>
          <w:r>
            <w:rPr>
              <w:rFonts w:hint="eastAsia"/>
            </w:rPr>
            <w:fldChar w:fldCharType="separate"/>
          </w:r>
          <w:r>
            <w:rPr>
              <w:rFonts w:hint="eastAsia"/>
            </w:rPr>
            <w:t>（２）空家等の現状</w:t>
          </w:r>
          <w:r>
            <w:rPr>
              <w:rFonts w:hint="eastAsia"/>
            </w:rPr>
            <w:tab/>
          </w:r>
          <w:r>
            <w:rPr>
              <w:rFonts w:hint="eastAsia"/>
            </w:rPr>
            <w:fldChar w:fldCharType="end"/>
          </w:r>
          <w:r>
            <w:rPr>
              <w:rFonts w:hint="eastAsia"/>
            </w:rPr>
            <w:fldChar w:fldCharType="begin"/>
          </w:r>
          <w:r>
            <w:rPr>
              <w:rFonts w:hint="eastAsia"/>
            </w:rPr>
            <w:instrText xml:space="preserve">PageRef _Toc4221 \h </w:instrText>
          </w:r>
          <w:r>
            <w:rPr>
              <w:rFonts w:hint="eastAsia"/>
            </w:rPr>
            <w:fldChar w:fldCharType="separate"/>
          </w:r>
          <w:r>
            <w:rPr>
              <w:rFonts w:hint="eastAsia"/>
            </w:rPr>
            <w:t>3</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"_Toc23447"</w:instrText>
          </w:r>
          <w:r>
            <w:rPr>
              <w:rFonts w:hint="eastAsia"/>
            </w:rPr>
            <w:fldChar w:fldCharType="separate"/>
          </w:r>
          <w:r>
            <w:rPr>
              <w:rFonts w:hint="eastAsia"/>
            </w:rPr>
            <w:t>（３）空家等における課題</w:t>
          </w:r>
          <w:r>
            <w:rPr>
              <w:rFonts w:hint="eastAsia"/>
            </w:rPr>
            <w:tab/>
          </w:r>
          <w:r>
            <w:rPr>
              <w:rFonts w:hint="eastAsia"/>
            </w:rPr>
            <w:fldChar w:fldCharType="end"/>
          </w:r>
          <w:r>
            <w:rPr>
              <w:rFonts w:hint="eastAsia"/>
            </w:rPr>
            <w:fldChar w:fldCharType="begin"/>
          </w:r>
          <w:r>
            <w:rPr>
              <w:rFonts w:hint="eastAsia"/>
            </w:rPr>
            <w:instrText xml:space="preserve">PageRef _Toc23447 \h </w:instrText>
          </w:r>
          <w:r>
            <w:rPr>
              <w:rFonts w:hint="eastAsia"/>
            </w:rPr>
            <w:fldChar w:fldCharType="separate"/>
          </w:r>
          <w:r>
            <w:rPr>
              <w:rFonts w:hint="eastAsia"/>
            </w:rPr>
            <w:t>5</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"_Toc25416"</w:instrText>
          </w:r>
          <w:r>
            <w:rPr>
              <w:rFonts w:hint="eastAsia"/>
            </w:rPr>
            <w:fldChar w:fldCharType="separate"/>
          </w:r>
          <w:r>
            <w:rPr>
              <w:rFonts w:hint="eastAsia"/>
            </w:rPr>
            <w:t>３．空家等に関する対策の基本的な方針　　　　　　　　　　　　</w:t>
          </w:r>
          <w:r>
            <w:rPr>
              <w:rFonts w:hint="eastAsia"/>
            </w:rPr>
            <w:tab/>
          </w:r>
          <w:r>
            <w:rPr>
              <w:rFonts w:hint="eastAsia"/>
            </w:rPr>
            <w:fldChar w:fldCharType="end"/>
          </w:r>
          <w:r>
            <w:rPr>
              <w:rFonts w:hint="eastAsia"/>
            </w:rPr>
            <w:fldChar w:fldCharType="begin"/>
          </w:r>
          <w:r>
            <w:rPr>
              <w:rFonts w:hint="eastAsia"/>
            </w:rPr>
            <w:instrText xml:space="preserve">PageRef _Toc25416 \h </w:instrText>
          </w:r>
          <w:r>
            <w:rPr>
              <w:rFonts w:hint="eastAsia"/>
            </w:rPr>
            <w:fldChar w:fldCharType="separate"/>
          </w:r>
          <w:r>
            <w:rPr>
              <w:rFonts w:hint="eastAsia"/>
            </w:rPr>
            <w:t>6</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"_Toc17068"</w:instrText>
          </w:r>
          <w:r>
            <w:rPr>
              <w:rFonts w:hint="eastAsia"/>
            </w:rPr>
            <w:fldChar w:fldCharType="separate"/>
          </w:r>
          <w:r>
            <w:rPr>
              <w:rFonts w:hint="eastAsia"/>
            </w:rPr>
            <w:t>（１）対象地区</w:t>
          </w:r>
          <w:r>
            <w:rPr>
              <w:rFonts w:hint="eastAsia"/>
            </w:rPr>
            <w:tab/>
          </w:r>
          <w:r>
            <w:rPr>
              <w:rFonts w:hint="eastAsia"/>
            </w:rPr>
            <w:fldChar w:fldCharType="end"/>
          </w:r>
          <w:r>
            <w:rPr>
              <w:rFonts w:hint="eastAsia"/>
            </w:rPr>
            <w:fldChar w:fldCharType="begin"/>
          </w:r>
          <w:r>
            <w:rPr>
              <w:rFonts w:hint="eastAsia"/>
            </w:rPr>
            <w:instrText xml:space="preserve">PageRef _Toc17068 \h </w:instrText>
          </w:r>
          <w:r>
            <w:rPr>
              <w:rFonts w:hint="eastAsia"/>
            </w:rPr>
            <w:fldChar w:fldCharType="separate"/>
          </w:r>
          <w:r>
            <w:rPr>
              <w:rFonts w:hint="eastAsia"/>
            </w:rPr>
            <w:t>6</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"_Toc27850"</w:instrText>
          </w:r>
          <w:r>
            <w:rPr>
              <w:rFonts w:hint="eastAsia"/>
            </w:rPr>
            <w:fldChar w:fldCharType="separate"/>
          </w:r>
          <w:r>
            <w:rPr>
              <w:rFonts w:hint="eastAsia"/>
            </w:rPr>
            <w:t>（２）対象とする空家等の種類</w:t>
          </w:r>
          <w:r>
            <w:rPr>
              <w:rFonts w:hint="eastAsia"/>
            </w:rPr>
            <w:tab/>
          </w:r>
          <w:r>
            <w:rPr>
              <w:rFonts w:hint="eastAsia"/>
            </w:rPr>
            <w:fldChar w:fldCharType="end"/>
          </w:r>
          <w:r>
            <w:rPr>
              <w:rFonts w:hint="eastAsia"/>
            </w:rPr>
            <w:fldChar w:fldCharType="begin"/>
          </w:r>
          <w:r>
            <w:rPr>
              <w:rFonts w:hint="eastAsia"/>
            </w:rPr>
            <w:instrText xml:space="preserve">PageRef _Toc27850 \h </w:instrText>
          </w:r>
          <w:r>
            <w:rPr>
              <w:rFonts w:hint="eastAsia"/>
            </w:rPr>
            <w:fldChar w:fldCharType="separate"/>
          </w:r>
          <w:r>
            <w:rPr>
              <w:rFonts w:hint="eastAsia"/>
            </w:rPr>
            <w:t>6</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"_Toc21121"</w:instrText>
          </w:r>
          <w:r>
            <w:rPr>
              <w:rFonts w:hint="eastAsia"/>
            </w:rPr>
            <w:fldChar w:fldCharType="separate"/>
          </w:r>
          <w:r>
            <w:rPr>
              <w:rFonts w:hint="eastAsia"/>
            </w:rPr>
            <w:t>（３）対策に関する基本方針</w:t>
          </w:r>
          <w:r>
            <w:rPr>
              <w:rFonts w:hint="eastAsia"/>
            </w:rPr>
            <w:tab/>
          </w:r>
          <w:r>
            <w:rPr>
              <w:rFonts w:hint="eastAsia"/>
            </w:rPr>
            <w:fldChar w:fldCharType="end"/>
          </w:r>
          <w:r>
            <w:rPr>
              <w:rFonts w:hint="eastAsia"/>
            </w:rPr>
            <w:fldChar w:fldCharType="begin"/>
          </w:r>
          <w:r>
            <w:rPr>
              <w:rFonts w:hint="eastAsia"/>
            </w:rPr>
            <w:instrText xml:space="preserve">PageRef _Toc21121 \h </w:instrText>
          </w:r>
          <w:r>
            <w:rPr>
              <w:rFonts w:hint="eastAsia"/>
            </w:rPr>
            <w:fldChar w:fldCharType="separate"/>
          </w:r>
          <w:r>
            <w:rPr>
              <w:rFonts w:hint="eastAsia"/>
            </w:rPr>
            <w:t>6</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"_Toc32346"</w:instrText>
          </w:r>
          <w:r>
            <w:rPr>
              <w:rFonts w:hint="eastAsia"/>
            </w:rPr>
            <w:fldChar w:fldCharType="separate"/>
          </w:r>
          <w:r>
            <w:rPr>
              <w:rFonts w:hint="eastAsia"/>
            </w:rPr>
            <w:t>４．計画期間　　　　　　　　　　　　　　　　　　　　　　　　</w:t>
          </w:r>
          <w:r>
            <w:rPr>
              <w:rFonts w:hint="eastAsia"/>
            </w:rPr>
            <w:tab/>
          </w:r>
          <w:r>
            <w:rPr>
              <w:rFonts w:hint="eastAsia"/>
            </w:rPr>
            <w:fldChar w:fldCharType="end"/>
          </w:r>
          <w:r>
            <w:rPr>
              <w:rFonts w:hint="eastAsia"/>
            </w:rPr>
            <w:fldChar w:fldCharType="begin"/>
          </w:r>
          <w:r>
            <w:rPr>
              <w:rFonts w:hint="eastAsia"/>
            </w:rPr>
            <w:instrText xml:space="preserve">PageRef _Toc32346 \h </w:instrText>
          </w:r>
          <w:r>
            <w:rPr>
              <w:rFonts w:hint="eastAsia"/>
            </w:rPr>
            <w:fldChar w:fldCharType="separate"/>
          </w:r>
          <w:r>
            <w:rPr>
              <w:rFonts w:hint="eastAsia"/>
            </w:rPr>
            <w:t>7</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"_Toc2116"</w:instrText>
          </w:r>
          <w:r>
            <w:rPr>
              <w:rFonts w:hint="eastAsia"/>
            </w:rPr>
            <w:fldChar w:fldCharType="separate"/>
          </w:r>
          <w:r>
            <w:rPr>
              <w:rFonts w:hint="eastAsia"/>
            </w:rPr>
            <w:t>５．空家等の調査　　　　　　　　　　　　　　　　　　　　　　</w:t>
          </w:r>
          <w:r>
            <w:rPr>
              <w:rFonts w:hint="eastAsia"/>
            </w:rPr>
            <w:tab/>
          </w:r>
          <w:r>
            <w:rPr>
              <w:rFonts w:hint="eastAsia"/>
            </w:rPr>
            <w:fldChar w:fldCharType="end"/>
          </w:r>
          <w:r>
            <w:rPr>
              <w:rFonts w:hint="eastAsia"/>
            </w:rPr>
            <w:fldChar w:fldCharType="begin"/>
          </w:r>
          <w:r>
            <w:rPr>
              <w:rFonts w:hint="eastAsia"/>
            </w:rPr>
            <w:instrText xml:space="preserve">PageRef _Toc2116 \h </w:instrText>
          </w:r>
          <w:r>
            <w:rPr>
              <w:rFonts w:hint="eastAsia"/>
            </w:rPr>
            <w:fldChar w:fldCharType="separate"/>
          </w:r>
          <w:r>
            <w:rPr>
              <w:rFonts w:hint="eastAsia"/>
            </w:rPr>
            <w:t>8</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"_Toc5336"</w:instrText>
          </w:r>
          <w:r>
            <w:rPr>
              <w:rFonts w:hint="eastAsia"/>
            </w:rPr>
            <w:fldChar w:fldCharType="separate"/>
          </w:r>
          <w:r>
            <w:rPr>
              <w:rFonts w:hint="eastAsia"/>
            </w:rPr>
            <w:t>（１）空家等の実態調査</w:t>
          </w:r>
          <w:r>
            <w:rPr>
              <w:rFonts w:hint="eastAsia"/>
            </w:rPr>
            <w:tab/>
          </w:r>
          <w:r>
            <w:rPr>
              <w:rFonts w:hint="eastAsia"/>
            </w:rPr>
            <w:fldChar w:fldCharType="end"/>
          </w:r>
          <w:r>
            <w:rPr>
              <w:rFonts w:hint="eastAsia"/>
            </w:rPr>
            <w:fldChar w:fldCharType="begin"/>
          </w:r>
          <w:r>
            <w:rPr>
              <w:rFonts w:hint="eastAsia"/>
            </w:rPr>
            <w:instrText xml:space="preserve">PageRef _Toc5336 \h </w:instrText>
          </w:r>
          <w:r>
            <w:rPr>
              <w:rFonts w:hint="eastAsia"/>
            </w:rPr>
            <w:fldChar w:fldCharType="separate"/>
          </w:r>
          <w:r>
            <w:rPr>
              <w:rFonts w:hint="eastAsia"/>
            </w:rPr>
            <w:t>8</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"_Toc14359"</w:instrText>
          </w:r>
          <w:r>
            <w:rPr>
              <w:rFonts w:hint="eastAsia"/>
            </w:rPr>
            <w:fldChar w:fldCharType="separate"/>
          </w:r>
          <w:r>
            <w:rPr>
              <w:rFonts w:hint="eastAsia"/>
            </w:rPr>
            <w:t>（２）空家等の外観等調査</w:t>
          </w:r>
          <w:r>
            <w:rPr>
              <w:rFonts w:hint="eastAsia"/>
            </w:rPr>
            <w:tab/>
          </w:r>
          <w:r>
            <w:rPr>
              <w:rFonts w:hint="eastAsia"/>
            </w:rPr>
            <w:fldChar w:fldCharType="end"/>
          </w:r>
          <w:r>
            <w:rPr>
              <w:rFonts w:hint="eastAsia"/>
            </w:rPr>
            <w:fldChar w:fldCharType="begin"/>
          </w:r>
          <w:r>
            <w:rPr>
              <w:rFonts w:hint="eastAsia"/>
            </w:rPr>
            <w:instrText xml:space="preserve">PageRef _Toc14359 \h </w:instrText>
          </w:r>
          <w:r>
            <w:rPr>
              <w:rFonts w:hint="eastAsia"/>
            </w:rPr>
            <w:fldChar w:fldCharType="separate"/>
          </w:r>
          <w:r>
            <w:rPr>
              <w:rFonts w:hint="eastAsia"/>
            </w:rPr>
            <w:t>8</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"_Toc23446"</w:instrText>
          </w:r>
          <w:r>
            <w:rPr>
              <w:rFonts w:hint="eastAsia"/>
            </w:rPr>
            <w:fldChar w:fldCharType="separate"/>
          </w:r>
          <w:r>
            <w:rPr>
              <w:rFonts w:hint="eastAsia"/>
            </w:rPr>
            <w:t>（３）空家等の所有者等の調査</w:t>
          </w:r>
          <w:r>
            <w:rPr>
              <w:rFonts w:hint="eastAsia"/>
            </w:rPr>
            <w:tab/>
          </w:r>
          <w:r>
            <w:rPr>
              <w:rFonts w:hint="eastAsia"/>
            </w:rPr>
            <w:fldChar w:fldCharType="end"/>
          </w:r>
          <w:r>
            <w:rPr>
              <w:rFonts w:hint="eastAsia"/>
            </w:rPr>
            <w:fldChar w:fldCharType="begin"/>
          </w:r>
          <w:r>
            <w:rPr>
              <w:rFonts w:hint="eastAsia"/>
            </w:rPr>
            <w:instrText xml:space="preserve">PageRef _Toc23446 \h </w:instrText>
          </w:r>
          <w:r>
            <w:rPr>
              <w:rFonts w:hint="eastAsia"/>
            </w:rPr>
            <w:fldChar w:fldCharType="separate"/>
          </w:r>
          <w:r>
            <w:rPr>
              <w:rFonts w:hint="eastAsia"/>
            </w:rPr>
            <w:t>8</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"_Toc20694"</w:instrText>
          </w:r>
          <w:r>
            <w:rPr>
              <w:rFonts w:hint="eastAsia"/>
            </w:rPr>
            <w:fldChar w:fldCharType="separate"/>
          </w:r>
          <w:r>
            <w:rPr>
              <w:rFonts w:hint="eastAsia"/>
            </w:rPr>
            <w:t>（４）立入調査</w:t>
          </w:r>
          <w:r>
            <w:rPr>
              <w:rFonts w:hint="eastAsia"/>
            </w:rPr>
            <w:tab/>
          </w:r>
          <w:r>
            <w:rPr>
              <w:rFonts w:hint="eastAsia"/>
            </w:rPr>
            <w:fldChar w:fldCharType="end"/>
          </w:r>
          <w:r>
            <w:rPr>
              <w:rFonts w:hint="eastAsia"/>
            </w:rPr>
            <w:fldChar w:fldCharType="begin"/>
          </w:r>
          <w:r>
            <w:rPr>
              <w:rFonts w:hint="eastAsia"/>
            </w:rPr>
            <w:instrText xml:space="preserve">PageRef _Toc20694 \h </w:instrText>
          </w:r>
          <w:r>
            <w:rPr>
              <w:rFonts w:hint="eastAsia"/>
            </w:rPr>
            <w:fldChar w:fldCharType="separate"/>
          </w:r>
          <w:r>
            <w:rPr>
              <w:rFonts w:hint="eastAsia"/>
            </w:rPr>
            <w:t>8</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"_Toc31627"</w:instrText>
          </w:r>
          <w:r>
            <w:rPr>
              <w:rFonts w:hint="eastAsia"/>
            </w:rPr>
            <w:fldChar w:fldCharType="separate"/>
          </w:r>
          <w:r>
            <w:rPr>
              <w:rFonts w:hint="eastAsia"/>
            </w:rPr>
            <w:t>６．空家等の所有者等の適切な管理の促進　　　　　　　　　　　</w:t>
          </w:r>
          <w:r>
            <w:rPr>
              <w:rFonts w:hint="eastAsia"/>
            </w:rPr>
            <w:tab/>
          </w:r>
          <w:r>
            <w:rPr>
              <w:rFonts w:hint="eastAsia"/>
            </w:rPr>
            <w:fldChar w:fldCharType="end"/>
          </w:r>
          <w:r>
            <w:rPr>
              <w:rFonts w:hint="eastAsia"/>
            </w:rPr>
            <w:fldChar w:fldCharType="begin"/>
          </w:r>
          <w:r>
            <w:rPr>
              <w:rFonts w:hint="eastAsia"/>
            </w:rPr>
            <w:instrText xml:space="preserve">PageRef _Toc31627 \h </w:instrText>
          </w:r>
          <w:r>
            <w:rPr>
              <w:rFonts w:hint="eastAsia"/>
            </w:rPr>
            <w:fldChar w:fldCharType="separate"/>
          </w:r>
          <w:r>
            <w:rPr>
              <w:rFonts w:hint="eastAsia"/>
            </w:rPr>
            <w:t>9</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"_Toc7936"</w:instrText>
          </w:r>
          <w:r>
            <w:rPr>
              <w:rFonts w:hint="eastAsia"/>
            </w:rPr>
            <w:fldChar w:fldCharType="separate"/>
          </w:r>
          <w:r>
            <w:rPr>
              <w:rFonts w:hint="eastAsia"/>
            </w:rPr>
            <w:t>（１）所有者等の意識の向上</w:t>
          </w:r>
          <w:r>
            <w:rPr>
              <w:rFonts w:hint="eastAsia"/>
            </w:rPr>
            <w:tab/>
          </w:r>
          <w:r>
            <w:rPr>
              <w:rFonts w:hint="eastAsia"/>
            </w:rPr>
            <w:fldChar w:fldCharType="end"/>
          </w:r>
          <w:r>
            <w:rPr>
              <w:rFonts w:hint="eastAsia"/>
            </w:rPr>
            <w:fldChar w:fldCharType="begin"/>
          </w:r>
          <w:r>
            <w:rPr>
              <w:rFonts w:hint="eastAsia"/>
            </w:rPr>
            <w:instrText xml:space="preserve">PageRef _Toc7936 \h </w:instrText>
          </w:r>
          <w:r>
            <w:rPr>
              <w:rFonts w:hint="eastAsia"/>
            </w:rPr>
            <w:fldChar w:fldCharType="separate"/>
          </w:r>
          <w:r>
            <w:rPr>
              <w:rFonts w:hint="eastAsia"/>
            </w:rPr>
            <w:t>9</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"_Toc16660"</w:instrText>
          </w:r>
          <w:r>
            <w:rPr>
              <w:rFonts w:hint="eastAsia"/>
            </w:rPr>
            <w:fldChar w:fldCharType="separate"/>
          </w:r>
          <w:r>
            <w:rPr>
              <w:rFonts w:hint="eastAsia"/>
            </w:rPr>
            <w:t>７．空家等及び除却した空家等に係る跡地活用の促進　　　　　　　　　　　　</w:t>
          </w:r>
          <w:r>
            <w:rPr>
              <w:rFonts w:hint="eastAsia"/>
            </w:rPr>
            <w:tab/>
          </w:r>
          <w:r>
            <w:rPr>
              <w:rFonts w:hint="eastAsia"/>
            </w:rPr>
            <w:fldChar w:fldCharType="end"/>
          </w:r>
          <w:r>
            <w:rPr>
              <w:rFonts w:hint="eastAsia"/>
            </w:rPr>
            <w:fldChar w:fldCharType="begin"/>
          </w:r>
          <w:r>
            <w:rPr>
              <w:rFonts w:hint="eastAsia"/>
            </w:rPr>
            <w:instrText xml:space="preserve">PageRef _Toc16660 \h </w:instrText>
          </w:r>
          <w:r>
            <w:rPr>
              <w:rFonts w:hint="eastAsia"/>
            </w:rPr>
            <w:fldChar w:fldCharType="separate"/>
          </w:r>
          <w:r>
            <w:rPr>
              <w:rFonts w:hint="eastAsia"/>
            </w:rPr>
            <w:t>10</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"_Toc4078"</w:instrText>
          </w:r>
          <w:r>
            <w:rPr>
              <w:rFonts w:hint="eastAsia"/>
            </w:rPr>
            <w:fldChar w:fldCharType="separate"/>
          </w:r>
          <w:r>
            <w:rPr>
              <w:rFonts w:hint="eastAsia"/>
            </w:rPr>
            <w:t>（１）空家等の活用の促進</w:t>
          </w:r>
          <w:r>
            <w:rPr>
              <w:rFonts w:hint="eastAsia"/>
            </w:rPr>
            <w:tab/>
          </w:r>
          <w:r>
            <w:rPr>
              <w:rFonts w:hint="eastAsia"/>
            </w:rPr>
            <w:fldChar w:fldCharType="end"/>
          </w:r>
          <w:r>
            <w:rPr>
              <w:rFonts w:hint="eastAsia"/>
            </w:rPr>
            <w:fldChar w:fldCharType="begin"/>
          </w:r>
          <w:r>
            <w:rPr>
              <w:rFonts w:hint="eastAsia"/>
            </w:rPr>
            <w:instrText xml:space="preserve">PageRef _Toc4078 \h </w:instrText>
          </w:r>
          <w:r>
            <w:rPr>
              <w:rFonts w:hint="eastAsia"/>
            </w:rPr>
            <w:fldChar w:fldCharType="separate"/>
          </w:r>
          <w:r>
            <w:rPr>
              <w:rFonts w:hint="eastAsia"/>
            </w:rPr>
            <w:t>10</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"_Toc13523"</w:instrText>
          </w:r>
          <w:r>
            <w:rPr>
              <w:rFonts w:hint="eastAsia"/>
            </w:rPr>
            <w:fldChar w:fldCharType="separate"/>
          </w:r>
          <w:r>
            <w:rPr>
              <w:rFonts w:hint="eastAsia"/>
            </w:rPr>
            <w:t>（２）除却した空家等に係る跡地活用の促進</w:t>
          </w:r>
          <w:r>
            <w:rPr>
              <w:rFonts w:hint="eastAsia"/>
            </w:rPr>
            <w:tab/>
          </w:r>
          <w:r>
            <w:rPr>
              <w:rFonts w:hint="eastAsia"/>
            </w:rPr>
            <w:fldChar w:fldCharType="end"/>
          </w:r>
          <w:r>
            <w:rPr>
              <w:rFonts w:hint="eastAsia"/>
            </w:rPr>
            <w:fldChar w:fldCharType="begin"/>
          </w:r>
          <w:r>
            <w:rPr>
              <w:rFonts w:hint="eastAsia"/>
            </w:rPr>
            <w:instrText xml:space="preserve">PageRef _Toc13523 \h </w:instrText>
          </w:r>
          <w:r>
            <w:rPr>
              <w:rFonts w:hint="eastAsia"/>
            </w:rPr>
            <w:fldChar w:fldCharType="separate"/>
          </w:r>
          <w:r>
            <w:rPr>
              <w:rFonts w:hint="eastAsia"/>
            </w:rPr>
            <w:t>10</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"_Toc16315"</w:instrText>
          </w:r>
          <w:r>
            <w:rPr>
              <w:rFonts w:hint="eastAsia"/>
            </w:rPr>
            <w:fldChar w:fldCharType="separate"/>
          </w:r>
          <w:r>
            <w:rPr>
              <w:rFonts w:hint="eastAsia"/>
            </w:rPr>
            <w:t>８．特定空家等に対する措置　　　　　　　　　　　　　　　　　</w:t>
          </w:r>
          <w:r>
            <w:rPr>
              <w:rFonts w:hint="eastAsia"/>
            </w:rPr>
            <w:tab/>
          </w:r>
          <w:r>
            <w:rPr>
              <w:rFonts w:hint="eastAsia"/>
            </w:rPr>
            <w:fldChar w:fldCharType="end"/>
          </w:r>
          <w:r>
            <w:rPr>
              <w:rFonts w:hint="eastAsia"/>
            </w:rPr>
            <w:fldChar w:fldCharType="begin"/>
          </w:r>
          <w:r>
            <w:rPr>
              <w:rFonts w:hint="eastAsia"/>
            </w:rPr>
            <w:instrText xml:space="preserve">PageRef _Toc16315 \h </w:instrText>
          </w:r>
          <w:r>
            <w:rPr>
              <w:rFonts w:hint="eastAsia"/>
            </w:rPr>
            <w:fldChar w:fldCharType="separate"/>
          </w:r>
          <w:r>
            <w:rPr>
              <w:rFonts w:hint="eastAsia"/>
            </w:rPr>
            <w:t>11</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"_Toc26730"</w:instrText>
          </w:r>
          <w:r>
            <w:rPr>
              <w:rFonts w:hint="eastAsia"/>
            </w:rPr>
            <w:fldChar w:fldCharType="separate"/>
          </w:r>
          <w:r>
            <w:rPr>
              <w:rFonts w:hint="eastAsia"/>
            </w:rPr>
            <w:t>（１）特定空家等の定義</w:t>
          </w:r>
          <w:r>
            <w:rPr>
              <w:rFonts w:hint="eastAsia"/>
            </w:rPr>
            <w:tab/>
          </w:r>
          <w:r>
            <w:rPr>
              <w:rFonts w:hint="eastAsia"/>
            </w:rPr>
            <w:fldChar w:fldCharType="end"/>
          </w:r>
          <w:r>
            <w:rPr>
              <w:rFonts w:hint="eastAsia"/>
            </w:rPr>
            <w:fldChar w:fldCharType="begin"/>
          </w:r>
          <w:r>
            <w:rPr>
              <w:rFonts w:hint="eastAsia"/>
            </w:rPr>
            <w:instrText xml:space="preserve">PageRef _Toc26730 \h </w:instrText>
          </w:r>
          <w:r>
            <w:rPr>
              <w:rFonts w:hint="eastAsia"/>
            </w:rPr>
            <w:fldChar w:fldCharType="separate"/>
          </w:r>
          <w:r>
            <w:rPr>
              <w:rFonts w:hint="eastAsia"/>
            </w:rPr>
            <w:t>11</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"_Toc12180"</w:instrText>
          </w:r>
          <w:r>
            <w:rPr>
              <w:rFonts w:hint="eastAsia"/>
            </w:rPr>
            <w:fldChar w:fldCharType="separate"/>
          </w:r>
          <w:r>
            <w:rPr>
              <w:rFonts w:hint="eastAsia"/>
            </w:rPr>
            <w:t>（２）特定空家等の未然防止</w:t>
          </w:r>
          <w:r>
            <w:rPr>
              <w:rFonts w:hint="eastAsia"/>
            </w:rPr>
            <w:tab/>
          </w:r>
          <w:r>
            <w:rPr>
              <w:rFonts w:hint="eastAsia"/>
            </w:rPr>
            <w:fldChar w:fldCharType="end"/>
          </w:r>
          <w:r>
            <w:rPr>
              <w:rFonts w:hint="eastAsia"/>
            </w:rPr>
            <w:fldChar w:fldCharType="begin"/>
          </w:r>
          <w:r>
            <w:rPr>
              <w:rFonts w:hint="eastAsia"/>
            </w:rPr>
            <w:instrText xml:space="preserve">PageRef _Toc12180 \h </w:instrText>
          </w:r>
          <w:r>
            <w:rPr>
              <w:rFonts w:hint="eastAsia"/>
            </w:rPr>
            <w:fldChar w:fldCharType="separate"/>
          </w:r>
          <w:r>
            <w:rPr>
              <w:rFonts w:hint="eastAsia"/>
            </w:rPr>
            <w:t>11</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"_Toc32291"</w:instrText>
          </w:r>
          <w:r>
            <w:rPr>
              <w:rFonts w:hint="eastAsia"/>
            </w:rPr>
            <w:fldChar w:fldCharType="separate"/>
          </w:r>
          <w:r>
            <w:rPr>
              <w:rFonts w:hint="eastAsia"/>
            </w:rPr>
            <w:t>（３）特定空家等の認定</w:t>
          </w:r>
          <w:r>
            <w:rPr>
              <w:rFonts w:hint="eastAsia"/>
            </w:rPr>
            <w:tab/>
          </w:r>
          <w:r>
            <w:rPr>
              <w:rFonts w:hint="eastAsia"/>
            </w:rPr>
            <w:fldChar w:fldCharType="end"/>
          </w:r>
          <w:r>
            <w:rPr>
              <w:rFonts w:hint="eastAsia"/>
            </w:rPr>
            <w:fldChar w:fldCharType="begin"/>
          </w:r>
          <w:r>
            <w:rPr>
              <w:rFonts w:hint="eastAsia"/>
            </w:rPr>
            <w:instrText xml:space="preserve">PageRef _Toc32291 \h </w:instrText>
          </w:r>
          <w:r>
            <w:rPr>
              <w:rFonts w:hint="eastAsia"/>
            </w:rPr>
            <w:fldChar w:fldCharType="separate"/>
          </w:r>
          <w:r>
            <w:rPr>
              <w:rFonts w:hint="eastAsia"/>
            </w:rPr>
            <w:t>11</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"_Toc12095"</w:instrText>
          </w:r>
          <w:r>
            <w:rPr>
              <w:rFonts w:hint="eastAsia"/>
            </w:rPr>
            <w:fldChar w:fldCharType="separate"/>
          </w:r>
          <w:r>
            <w:rPr>
              <w:rFonts w:hint="eastAsia"/>
            </w:rPr>
            <w:t>（４）措置の基本的な方針</w:t>
          </w:r>
          <w:r>
            <w:rPr>
              <w:rFonts w:hint="eastAsia"/>
            </w:rPr>
            <w:tab/>
          </w:r>
          <w:r>
            <w:rPr>
              <w:rFonts w:hint="eastAsia"/>
            </w:rPr>
            <w:fldChar w:fldCharType="end"/>
          </w:r>
          <w:r>
            <w:rPr>
              <w:rFonts w:hint="eastAsia"/>
            </w:rPr>
            <w:fldChar w:fldCharType="begin"/>
          </w:r>
          <w:r>
            <w:rPr>
              <w:rFonts w:hint="eastAsia"/>
            </w:rPr>
            <w:instrText xml:space="preserve">PageRef _Toc12095 \h </w:instrText>
          </w:r>
          <w:r>
            <w:rPr>
              <w:rFonts w:hint="eastAsia"/>
            </w:rPr>
            <w:fldChar w:fldCharType="separate"/>
          </w:r>
          <w:r>
            <w:rPr>
              <w:rFonts w:hint="eastAsia"/>
            </w:rPr>
            <w:t>11</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"_Toc27333"</w:instrText>
          </w:r>
          <w:r>
            <w:rPr>
              <w:rFonts w:hint="eastAsia"/>
            </w:rPr>
            <w:fldChar w:fldCharType="separate"/>
          </w:r>
          <w:r>
            <w:rPr>
              <w:rFonts w:hint="eastAsia"/>
            </w:rPr>
            <w:t>（５）特定空家等に対する措置の実施</w:t>
          </w:r>
          <w:r>
            <w:rPr>
              <w:rFonts w:hint="eastAsia"/>
            </w:rPr>
            <w:tab/>
          </w:r>
          <w:r>
            <w:rPr>
              <w:rFonts w:hint="eastAsia"/>
            </w:rPr>
            <w:fldChar w:fldCharType="end"/>
          </w:r>
          <w:r>
            <w:rPr>
              <w:rFonts w:hint="eastAsia"/>
            </w:rPr>
            <w:fldChar w:fldCharType="begin"/>
          </w:r>
          <w:r>
            <w:rPr>
              <w:rFonts w:hint="eastAsia"/>
            </w:rPr>
            <w:instrText xml:space="preserve">PageRef _Toc27333 \h </w:instrText>
          </w:r>
          <w:r>
            <w:rPr>
              <w:rFonts w:hint="eastAsia"/>
            </w:rPr>
            <w:fldChar w:fldCharType="separate"/>
          </w:r>
          <w:r>
            <w:rPr>
              <w:rFonts w:hint="eastAsia"/>
            </w:rPr>
            <w:t>15</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"_Toc7191"</w:instrText>
          </w:r>
          <w:r>
            <w:rPr>
              <w:rFonts w:hint="eastAsia"/>
            </w:rPr>
            <w:fldChar w:fldCharType="separate"/>
          </w:r>
          <w:r>
            <w:rPr>
              <w:rFonts w:hint="eastAsia"/>
            </w:rPr>
            <w:t>（６）特定空家等に対する措置の基本的な流れ</w:t>
          </w:r>
          <w:r>
            <w:rPr>
              <w:rFonts w:hint="eastAsia"/>
            </w:rPr>
            <w:tab/>
          </w:r>
          <w:r>
            <w:rPr>
              <w:rFonts w:hint="eastAsia"/>
            </w:rPr>
            <w:fldChar w:fldCharType="end"/>
          </w:r>
          <w:r>
            <w:rPr>
              <w:rFonts w:hint="eastAsia"/>
            </w:rPr>
            <w:fldChar w:fldCharType="begin"/>
          </w:r>
          <w:r>
            <w:rPr>
              <w:rFonts w:hint="eastAsia"/>
            </w:rPr>
            <w:instrText xml:space="preserve">PageRef _Toc7191 \h </w:instrText>
          </w:r>
          <w:r>
            <w:rPr>
              <w:rFonts w:hint="eastAsia"/>
            </w:rPr>
            <w:fldChar w:fldCharType="separate"/>
          </w:r>
          <w:r>
            <w:rPr>
              <w:rFonts w:hint="eastAsia"/>
            </w:rPr>
            <w:t>17</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"_Toc11045"</w:instrText>
          </w:r>
          <w:r>
            <w:rPr>
              <w:rFonts w:hint="eastAsia"/>
            </w:rPr>
            <w:fldChar w:fldCharType="separate"/>
          </w:r>
          <w:r>
            <w:rPr>
              <w:rFonts w:hint="eastAsia"/>
            </w:rPr>
            <w:t>９．市民等からの相談への対応　　　　　　　　　　　　　　　　</w:t>
          </w:r>
          <w:r>
            <w:rPr>
              <w:rFonts w:hint="eastAsia"/>
            </w:rPr>
            <w:tab/>
          </w:r>
          <w:r>
            <w:rPr>
              <w:rFonts w:hint="eastAsia"/>
            </w:rPr>
            <w:fldChar w:fldCharType="end"/>
          </w:r>
          <w:r>
            <w:rPr>
              <w:rFonts w:hint="eastAsia"/>
            </w:rPr>
            <w:fldChar w:fldCharType="begin"/>
          </w:r>
          <w:r>
            <w:rPr>
              <w:rFonts w:hint="eastAsia"/>
            </w:rPr>
            <w:instrText xml:space="preserve">PageRef _Toc11045 \h </w:instrText>
          </w:r>
          <w:r>
            <w:rPr>
              <w:rFonts w:hint="eastAsia"/>
            </w:rPr>
            <w:fldChar w:fldCharType="separate"/>
          </w:r>
          <w:r>
            <w:rPr>
              <w:rFonts w:hint="eastAsia"/>
            </w:rPr>
            <w:t>18</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"_Toc26846"</w:instrText>
          </w:r>
          <w:r>
            <w:rPr>
              <w:rFonts w:hint="eastAsia"/>
            </w:rPr>
            <w:fldChar w:fldCharType="separate"/>
          </w:r>
          <w:r>
            <w:rPr>
              <w:rFonts w:hint="eastAsia"/>
            </w:rPr>
            <w:t>（１）相談窓口</w:t>
          </w:r>
          <w:r>
            <w:rPr>
              <w:rFonts w:hint="eastAsia"/>
            </w:rPr>
            <w:tab/>
          </w:r>
          <w:r>
            <w:rPr>
              <w:rFonts w:hint="eastAsia"/>
            </w:rPr>
            <w:fldChar w:fldCharType="end"/>
          </w:r>
          <w:r>
            <w:rPr>
              <w:rFonts w:hint="eastAsia"/>
            </w:rPr>
            <w:fldChar w:fldCharType="begin"/>
          </w:r>
          <w:r>
            <w:rPr>
              <w:rFonts w:hint="eastAsia"/>
            </w:rPr>
            <w:instrText xml:space="preserve">PageRef _Toc26846 \h </w:instrText>
          </w:r>
          <w:r>
            <w:rPr>
              <w:rFonts w:hint="eastAsia"/>
            </w:rPr>
            <w:fldChar w:fldCharType="separate"/>
          </w:r>
          <w:r>
            <w:rPr>
              <w:rFonts w:hint="eastAsia"/>
            </w:rPr>
            <w:t>18</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"_Toc13112"</w:instrText>
          </w:r>
          <w:r>
            <w:rPr>
              <w:rFonts w:hint="eastAsia"/>
            </w:rPr>
            <w:fldChar w:fldCharType="separate"/>
          </w:r>
          <w:r>
            <w:rPr>
              <w:rFonts w:hint="eastAsia"/>
            </w:rPr>
            <w:t>１０．空家等対策の実施体制　　　　　　　　　　　　　　　　　</w:t>
          </w:r>
          <w:r>
            <w:rPr>
              <w:rFonts w:hint="eastAsia"/>
            </w:rPr>
            <w:tab/>
          </w:r>
          <w:r>
            <w:rPr>
              <w:rFonts w:hint="eastAsia"/>
            </w:rPr>
            <w:fldChar w:fldCharType="end"/>
          </w:r>
          <w:r>
            <w:rPr>
              <w:rFonts w:hint="eastAsia"/>
            </w:rPr>
            <w:fldChar w:fldCharType="begin"/>
          </w:r>
          <w:r>
            <w:rPr>
              <w:rFonts w:hint="eastAsia"/>
            </w:rPr>
            <w:instrText xml:space="preserve">PageRef _Toc13112 \h </w:instrText>
          </w:r>
          <w:r>
            <w:rPr>
              <w:rFonts w:hint="eastAsia"/>
            </w:rPr>
            <w:fldChar w:fldCharType="separate"/>
          </w:r>
          <w:r>
            <w:rPr>
              <w:rFonts w:hint="eastAsia"/>
            </w:rPr>
            <w:t>19</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"_Toc15625"</w:instrText>
          </w:r>
          <w:r>
            <w:rPr>
              <w:rFonts w:hint="eastAsia"/>
            </w:rPr>
            <w:fldChar w:fldCharType="separate"/>
          </w:r>
          <w:r>
            <w:rPr>
              <w:rFonts w:hint="eastAsia"/>
            </w:rPr>
            <w:t>（１）庁内関係部署の役割分担</w:t>
          </w:r>
          <w:r>
            <w:rPr>
              <w:rFonts w:hint="eastAsia"/>
            </w:rPr>
            <w:tab/>
          </w:r>
          <w:r>
            <w:rPr>
              <w:rFonts w:hint="eastAsia"/>
            </w:rPr>
            <w:fldChar w:fldCharType="end"/>
          </w:r>
          <w:r>
            <w:rPr>
              <w:rFonts w:hint="eastAsia"/>
            </w:rPr>
            <w:fldChar w:fldCharType="begin"/>
          </w:r>
          <w:r>
            <w:rPr>
              <w:rFonts w:hint="eastAsia"/>
            </w:rPr>
            <w:instrText xml:space="preserve">PageRef _Toc15625 \h </w:instrText>
          </w:r>
          <w:r>
            <w:rPr>
              <w:rFonts w:hint="eastAsia"/>
            </w:rPr>
            <w:fldChar w:fldCharType="separate"/>
          </w:r>
          <w:r>
            <w:rPr>
              <w:rFonts w:hint="eastAsia"/>
            </w:rPr>
            <w:t>19</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"_Toc19116"</w:instrText>
          </w:r>
          <w:r>
            <w:rPr>
              <w:rFonts w:hint="eastAsia"/>
            </w:rPr>
            <w:fldChar w:fldCharType="separate"/>
          </w:r>
          <w:r>
            <w:rPr>
              <w:rFonts w:hint="eastAsia"/>
            </w:rPr>
            <w:t>（２）関係機関等との連携</w:t>
          </w:r>
          <w:r>
            <w:rPr>
              <w:rFonts w:hint="eastAsia"/>
            </w:rPr>
            <w:tab/>
          </w:r>
          <w:r>
            <w:rPr>
              <w:rFonts w:hint="eastAsia"/>
            </w:rPr>
            <w:fldChar w:fldCharType="end"/>
          </w:r>
          <w:r>
            <w:rPr>
              <w:rFonts w:hint="eastAsia"/>
            </w:rPr>
            <w:fldChar w:fldCharType="begin"/>
          </w:r>
          <w:r>
            <w:rPr>
              <w:rFonts w:hint="eastAsia"/>
            </w:rPr>
            <w:instrText xml:space="preserve">PageRef _Toc19116 \h </w:instrText>
          </w:r>
          <w:r>
            <w:rPr>
              <w:rFonts w:hint="eastAsia"/>
            </w:rPr>
            <w:fldChar w:fldCharType="separate"/>
          </w:r>
          <w:r>
            <w:rPr>
              <w:rFonts w:hint="eastAsia"/>
            </w:rPr>
            <w:t>19</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"_Toc12143"</w:instrText>
          </w:r>
          <w:r>
            <w:rPr>
              <w:rFonts w:hint="eastAsia"/>
            </w:rPr>
            <w:fldChar w:fldCharType="separate"/>
          </w:r>
          <w:r>
            <w:rPr>
              <w:rFonts w:hint="eastAsia"/>
            </w:rPr>
            <w:t>資料　　　　　　　　　　　　　　　　　　　　　　　</w:t>
          </w:r>
          <w:r>
            <w:rPr>
              <w:rFonts w:hint="eastAsia"/>
            </w:rPr>
            <w:t xml:space="preserve">    </w:t>
          </w:r>
          <w:r>
            <w:rPr>
              <w:rFonts w:hint="eastAsia"/>
            </w:rPr>
            <w:t>　　　</w:t>
          </w:r>
          <w:r>
            <w:rPr>
              <w:rFonts w:hint="eastAsia"/>
            </w:rPr>
            <w:tab/>
          </w:r>
          <w:r>
            <w:rPr>
              <w:rFonts w:hint="eastAsia"/>
            </w:rPr>
            <w:fldChar w:fldCharType="end"/>
          </w:r>
          <w:r>
            <w:rPr>
              <w:rFonts w:hint="eastAsia"/>
            </w:rPr>
            <w:fldChar w:fldCharType="begin"/>
          </w:r>
          <w:r>
            <w:rPr>
              <w:rFonts w:hint="eastAsia"/>
            </w:rPr>
            <w:instrText xml:space="preserve">PageRef _Toc12143 \h </w:instrText>
          </w:r>
          <w:r>
            <w:rPr>
              <w:rFonts w:hint="eastAsia"/>
            </w:rPr>
            <w:fldChar w:fldCharType="separate"/>
          </w:r>
          <w:r>
            <w:rPr>
              <w:rFonts w:hint="eastAsia"/>
            </w:rPr>
            <w:t>20</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"_Toc27475"</w:instrText>
          </w:r>
          <w:r>
            <w:rPr>
              <w:rFonts w:hint="eastAsia"/>
            </w:rPr>
            <w:fldChar w:fldCharType="separate"/>
          </w:r>
          <w:r>
            <w:rPr>
              <w:rFonts w:hint="eastAsia"/>
            </w:rPr>
            <w:t>空家等の活用を促進する取り組み</w:t>
          </w:r>
          <w:r>
            <w:rPr>
              <w:rFonts w:hint="eastAsia"/>
            </w:rPr>
            <w:tab/>
          </w:r>
          <w:r>
            <w:rPr>
              <w:rFonts w:hint="eastAsia"/>
            </w:rPr>
            <w:fldChar w:fldCharType="end"/>
          </w:r>
          <w:r>
            <w:rPr>
              <w:rFonts w:hint="eastAsia"/>
            </w:rPr>
            <w:fldChar w:fldCharType="begin"/>
          </w:r>
          <w:r>
            <w:rPr>
              <w:rFonts w:hint="eastAsia"/>
            </w:rPr>
            <w:instrText xml:space="preserve">PageRef _Toc27475 \h </w:instrText>
          </w:r>
          <w:r>
            <w:rPr>
              <w:rFonts w:hint="eastAsia"/>
            </w:rPr>
            <w:fldChar w:fldCharType="separate"/>
          </w:r>
          <w:r>
            <w:rPr>
              <w:rFonts w:hint="eastAsia"/>
            </w:rPr>
            <w:t>20</w:t>
          </w:r>
          <w:r>
            <w:rPr>
              <w:rFonts w:hint="eastAsia"/>
            </w:rPr>
            <w:fldChar w:fldCharType="end"/>
          </w:r>
        </w:p>
        <w:p>
          <w:pPr>
            <w:pStyle w:val="26"/>
            <w:tabs>
              <w:tab w:val="right" w:leader="dot" w:pos="8504"/>
            </w:tabs>
            <w:rPr>
              <w:rFonts w:hint="eastAsia"/>
            </w:rPr>
          </w:pPr>
          <w:r>
            <w:rPr>
              <w:rFonts w:hint="eastAsia"/>
            </w:rPr>
            <w:fldChar w:fldCharType="begin"/>
          </w:r>
          <w:r>
            <w:rPr>
              <w:rFonts w:hint="eastAsia"/>
            </w:rPr>
            <w:instrText xml:space="preserve"> HYPERLINK  \l "_Toc32651"</w:instrText>
          </w:r>
          <w:r>
            <w:rPr>
              <w:rFonts w:hint="eastAsia"/>
            </w:rPr>
            <w:fldChar w:fldCharType="separate"/>
          </w:r>
          <w:r>
            <w:rPr>
              <w:rFonts w:hint="eastAsia"/>
            </w:rPr>
            <w:t>参考資料　　　　　　　　　　　　　　　　　　　　　　　　　　</w:t>
          </w:r>
          <w:r>
            <w:rPr>
              <w:rFonts w:hint="eastAsia"/>
            </w:rPr>
            <w:tab/>
          </w:r>
          <w:r>
            <w:rPr>
              <w:rFonts w:hint="eastAsia"/>
            </w:rPr>
            <w:fldChar w:fldCharType="end"/>
          </w:r>
          <w:r>
            <w:rPr>
              <w:rFonts w:hint="eastAsia"/>
            </w:rPr>
            <w:fldChar w:fldCharType="begin"/>
          </w:r>
          <w:r>
            <w:rPr>
              <w:rFonts w:hint="eastAsia"/>
            </w:rPr>
            <w:instrText xml:space="preserve">PageRef _Toc32651 \h </w:instrText>
          </w:r>
          <w:r>
            <w:rPr>
              <w:rFonts w:hint="eastAsia"/>
            </w:rPr>
            <w:fldChar w:fldCharType="separate"/>
          </w:r>
          <w:r>
            <w:rPr>
              <w:rFonts w:hint="eastAsia"/>
            </w:rPr>
            <w:t>23</w:t>
          </w:r>
          <w:r>
            <w:rPr>
              <w:rFonts w:hint="eastAsia"/>
            </w:rPr>
            <w:fldChar w:fldCharType="end"/>
          </w:r>
        </w:p>
        <w:p>
          <w:pPr>
            <w:pStyle w:val="27"/>
            <w:tabs>
              <w:tab w:val="right" w:leader="dot" w:pos="8504"/>
            </w:tabs>
            <w:rPr>
              <w:rFonts w:hint="eastAsia"/>
            </w:rPr>
          </w:pPr>
          <w:r>
            <w:rPr>
              <w:rFonts w:hint="eastAsia"/>
            </w:rPr>
            <w:fldChar w:fldCharType="begin"/>
          </w:r>
          <w:r>
            <w:rPr>
              <w:rFonts w:hint="eastAsia"/>
            </w:rPr>
            <w:instrText xml:space="preserve"> HYPERLINK  \l "_Toc6122"</w:instrText>
          </w:r>
          <w:r>
            <w:rPr>
              <w:rFonts w:hint="eastAsia"/>
            </w:rPr>
            <w:fldChar w:fldCharType="separate"/>
          </w:r>
          <w:r>
            <w:rPr>
              <w:rFonts w:hint="eastAsia"/>
            </w:rPr>
            <w:t>空家等対策の推進に関する特別措置法</w:t>
          </w:r>
          <w:r>
            <w:rPr>
              <w:rFonts w:hint="eastAsia"/>
            </w:rPr>
            <w:tab/>
          </w:r>
          <w:r>
            <w:rPr>
              <w:rFonts w:hint="eastAsia"/>
            </w:rPr>
            <w:fldChar w:fldCharType="end"/>
          </w:r>
          <w:r>
            <w:rPr>
              <w:rFonts w:hint="eastAsia"/>
            </w:rPr>
            <w:fldChar w:fldCharType="begin"/>
          </w:r>
          <w:r>
            <w:rPr>
              <w:rFonts w:hint="eastAsia"/>
            </w:rPr>
            <w:instrText xml:space="preserve">PageRef _Toc6122 \h </w:instrText>
          </w:r>
          <w:r>
            <w:rPr>
              <w:rFonts w:hint="eastAsia"/>
            </w:rPr>
            <w:fldChar w:fldCharType="separate"/>
          </w:r>
          <w:r>
            <w:rPr>
              <w:rFonts w:hint="eastAsia"/>
            </w:rPr>
            <w:t>23</w:t>
          </w:r>
          <w:r>
            <w:rPr>
              <w:rFonts w:hint="eastAsia"/>
            </w:rPr>
            <w:fldChar w:fldCharType="end"/>
          </w:r>
        </w:p>
        <w:p>
          <w:pPr>
            <w:pStyle w:val="0"/>
            <w:rPr>
              <w:rFonts w:hint="eastAsia" w:ascii="HGSｺﾞｼｯｸM" w:hAnsi="HGSｺﾞｼｯｸM" w:eastAsia="HGSｺﾞｼｯｸM"/>
            </w:rPr>
          </w:pPr>
          <w:r>
            <w:rPr>
              <w:rFonts w:hint="eastAsia"/>
            </w:rPr>
            <w:fldChar w:fldCharType="end"/>
          </w:r>
        </w:p>
      </w:sdtContent>
    </w:sdt>
    <w:p>
      <w:pPr>
        <w:pStyle w:val="0"/>
        <w:widowControl w:val="1"/>
        <w:jc w:val="left"/>
        <w:rPr>
          <w:rFonts w:hint="default" w:ascii="HGSｺﾞｼｯｸM" w:hAnsi="HGSｺﾞｼｯｸM" w:eastAsia="HGSｺﾞｼｯｸM"/>
          <w:sz w:val="21"/>
        </w:rPr>
      </w:pPr>
    </w:p>
    <w:p>
      <w:pPr>
        <w:pStyle w:val="0"/>
        <w:widowControl w:val="1"/>
        <w:jc w:val="left"/>
        <w:rPr>
          <w:rFonts w:hint="default" w:ascii="HGSｺﾞｼｯｸM" w:hAnsi="HGSｺﾞｼｯｸM" w:eastAsia="HGSｺﾞｼｯｸM"/>
          <w:sz w:val="21"/>
        </w:rPr>
      </w:pPr>
      <w:r>
        <w:rPr>
          <w:rFonts w:hint="eastAsia"/>
        </w:rPr>
        <mc:AlternateContent>
          <mc:Choice Requires="wps">
            <w:drawing>
              <wp:anchor distT="0" distB="0" distL="203200" distR="203200" simplePos="0" relativeHeight="30" behindDoc="0" locked="0" layoutInCell="1" hidden="0" allowOverlap="1">
                <wp:simplePos x="0" y="0"/>
                <wp:positionH relativeFrom="column">
                  <wp:posOffset>295275</wp:posOffset>
                </wp:positionH>
                <wp:positionV relativeFrom="paragraph">
                  <wp:posOffset>158115</wp:posOffset>
                </wp:positionV>
                <wp:extent cx="4872355" cy="125539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4872355" cy="125539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HGSｺﾞｼｯｸM" w:hAnsi="HGSｺﾞｼｯｸM" w:eastAsia="HGSｺﾞｼｯｸM"/>
                              </w:rPr>
                            </w:pPr>
                            <w:r>
                              <w:rPr>
                                <w:rFonts w:hint="eastAsia" w:ascii="HGSｺﾞｼｯｸM" w:hAnsi="HGSｺﾞｼｯｸM" w:eastAsia="HGSｺﾞｼｯｸM"/>
                              </w:rPr>
                              <w:t>※「空家」、「空き家」の表記について</w:t>
                            </w:r>
                          </w:p>
                          <w:p>
                            <w:pPr>
                              <w:pStyle w:val="0"/>
                              <w:rPr>
                                <w:rFonts w:hint="eastAsia" w:ascii="HGSｺﾞｼｯｸM" w:hAnsi="HGSｺﾞｼｯｸM" w:eastAsia="HGSｺﾞｼｯｸM"/>
                              </w:rPr>
                            </w:pPr>
                            <w:r>
                              <w:rPr>
                                <w:rFonts w:hint="eastAsia" w:ascii="HGSｺﾞｼｯｸM" w:hAnsi="HGSｺﾞｼｯｸM" w:eastAsia="HGSｺﾞｼｯｸM"/>
                              </w:rPr>
                              <w:t>　本計画においては、「空家等対策の推進に関する特別措置法」に合わせ、原則「空家」と表記しています。</w:t>
                            </w:r>
                          </w:p>
                          <w:p>
                            <w:pPr>
                              <w:pStyle w:val="0"/>
                              <w:rPr>
                                <w:rFonts w:hint="eastAsia" w:ascii="HGSｺﾞｼｯｸM" w:hAnsi="HGSｺﾞｼｯｸM" w:eastAsia="HGSｺﾞｼｯｸM"/>
                              </w:rPr>
                            </w:pPr>
                            <w:r>
                              <w:rPr>
                                <w:rFonts w:hint="eastAsia" w:ascii="HGSｺﾞｼｯｸM" w:hAnsi="HGSｺﾞｼｯｸM" w:eastAsia="HGSｺﾞｼｯｸM"/>
                              </w:rPr>
                              <w:t>　ただし、既存の制度の名称、出典元資料において「空き家」と表記されているものは、「空き家」と表記しています。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2.45pt;mso-position-vertical-relative:text;mso-position-horizontal-relative:text;position:absolute;height:98.85pt;mso-wrap-distance-top:0pt;width:383.65pt;mso-wrap-distance-left:16pt;margin-left:23.25pt;z-index:30;"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ascii="HGSｺﾞｼｯｸM" w:hAnsi="HGSｺﾞｼｯｸM" w:eastAsia="HGSｺﾞｼｯｸM"/>
                        </w:rPr>
                      </w:pPr>
                      <w:r>
                        <w:rPr>
                          <w:rFonts w:hint="eastAsia" w:ascii="HGSｺﾞｼｯｸM" w:hAnsi="HGSｺﾞｼｯｸM" w:eastAsia="HGSｺﾞｼｯｸM"/>
                        </w:rPr>
                        <w:t>※「空家」、「空き家」の表記について</w:t>
                      </w:r>
                    </w:p>
                    <w:p>
                      <w:pPr>
                        <w:pStyle w:val="0"/>
                        <w:rPr>
                          <w:rFonts w:hint="eastAsia" w:ascii="HGSｺﾞｼｯｸM" w:hAnsi="HGSｺﾞｼｯｸM" w:eastAsia="HGSｺﾞｼｯｸM"/>
                        </w:rPr>
                      </w:pPr>
                      <w:r>
                        <w:rPr>
                          <w:rFonts w:hint="eastAsia" w:ascii="HGSｺﾞｼｯｸM" w:hAnsi="HGSｺﾞｼｯｸM" w:eastAsia="HGSｺﾞｼｯｸM"/>
                        </w:rPr>
                        <w:t>　本計画においては、「空家等対策の推進に関する特別措置法」に合わせ、原則「空家」と表記しています。</w:t>
                      </w:r>
                    </w:p>
                    <w:p>
                      <w:pPr>
                        <w:pStyle w:val="0"/>
                        <w:rPr>
                          <w:rFonts w:hint="eastAsia" w:ascii="HGSｺﾞｼｯｸM" w:hAnsi="HGSｺﾞｼｯｸM" w:eastAsia="HGSｺﾞｼｯｸM"/>
                        </w:rPr>
                      </w:pPr>
                      <w:r>
                        <w:rPr>
                          <w:rFonts w:hint="eastAsia" w:ascii="HGSｺﾞｼｯｸM" w:hAnsi="HGSｺﾞｼｯｸM" w:eastAsia="HGSｺﾞｼｯｸM"/>
                        </w:rPr>
                        <w:t>　ただし、既存の制度の名称、出典元資料において「空き家」と表記されているものは、「空き家」と表記しています。</w:t>
                      </w:r>
                    </w:p>
                  </w:txbxContent>
                </v:textbox>
                <v:imagedata o:title=""/>
                <w10:wrap type="none" anchorx="text" anchory="text"/>
              </v:shape>
            </w:pict>
          </mc:Fallback>
        </mc:AlternateContent>
      </w:r>
    </w:p>
    <w:p>
      <w:pPr>
        <w:pStyle w:val="0"/>
        <w:widowControl w:val="1"/>
        <w:jc w:val="left"/>
        <w:rPr>
          <w:rFonts w:hint="default" w:ascii="HGSｺﾞｼｯｸM" w:hAnsi="HGSｺﾞｼｯｸM" w:eastAsia="HGSｺﾞｼｯｸM"/>
          <w:sz w:val="21"/>
        </w:rPr>
      </w:pPr>
    </w:p>
    <w:p>
      <w:pPr>
        <w:pStyle w:val="0"/>
        <w:widowControl w:val="1"/>
        <w:jc w:val="left"/>
        <w:rPr>
          <w:rFonts w:hint="default" w:ascii="HGSｺﾞｼｯｸM" w:hAnsi="HGSｺﾞｼｯｸM" w:eastAsia="HGSｺﾞｼｯｸM"/>
          <w:sz w:val="21"/>
        </w:rPr>
      </w:pPr>
    </w:p>
    <w:p>
      <w:pPr>
        <w:pStyle w:val="0"/>
        <w:widowControl w:val="1"/>
        <w:jc w:val="left"/>
        <w:rPr>
          <w:rFonts w:hint="default" w:ascii="HGSｺﾞｼｯｸM" w:hAnsi="HGSｺﾞｼｯｸM" w:eastAsia="HGSｺﾞｼｯｸM"/>
          <w:sz w:val="21"/>
        </w:rPr>
      </w:pPr>
    </w:p>
    <w:p>
      <w:pPr>
        <w:pStyle w:val="0"/>
        <w:widowControl w:val="1"/>
        <w:jc w:val="left"/>
        <w:rPr>
          <w:rFonts w:hint="default"/>
        </w:rPr>
        <w:sectPr>
          <w:footerReference r:id="rId5" w:type="default"/>
          <w:pgSz w:w="11906" w:h="16838"/>
          <w:pgMar w:top="1985" w:right="1701" w:bottom="1701" w:left="1701" w:header="851" w:footer="992" w:gutter="0"/>
          <w:cols w:space="720"/>
          <w:textDirection w:val="lrTb"/>
          <w:docGrid w:type="lines" w:linePitch="360"/>
        </w:sectPr>
      </w:pPr>
      <w:r>
        <w:rPr>
          <w:rFonts w:hint="default"/>
        </w:rPr>
        <w:br w:type="page"/>
      </w:r>
    </w:p>
    <w:p>
      <w:pPr>
        <w:pStyle w:val="1"/>
        <w:rPr>
          <w:rFonts w:hint="default" w:ascii="HGSｺﾞｼｯｸM" w:hAnsi="HGSｺﾞｼｯｸM" w:eastAsia="HGSｺﾞｼｯｸM"/>
          <w:sz w:val="21"/>
        </w:rPr>
      </w:pPr>
      <w:bookmarkStart w:id="1" w:name="_Toc36047459"/>
      <w:bookmarkStart w:id="2" w:name="_Toc10295"/>
      <w:bookmarkStart w:id="3" w:name="_Toc17885"/>
      <w:bookmarkStart w:id="4" w:name="_Toc18779"/>
      <w:bookmarkStart w:id="5" w:name="_Toc28590"/>
      <w:bookmarkStart w:id="6" w:name="_Toc28894"/>
      <w:bookmarkStart w:id="7" w:name="_Toc32047"/>
      <w:bookmarkStart w:id="8" w:name="_Toc32168"/>
      <w:bookmarkStart w:id="9" w:name="_Toc6376"/>
      <w:r>
        <w:rPr>
          <w:rFonts w:hint="eastAsia" w:ascii="HGSｺﾞｼｯｸM" w:hAnsi="HGSｺﾞｼｯｸM" w:eastAsia="HGSｺﾞｼｯｸM"/>
          <w:sz w:val="28"/>
          <w:u w:val="thick" w:color="auto"/>
        </w:rPr>
        <w:t>１．計画の趣旨</w:t>
      </w:r>
      <w:bookmarkEnd w:id="1"/>
      <w:r>
        <w:rPr>
          <w:rFonts w:hint="eastAsia" w:ascii="HGSｺﾞｼｯｸM" w:hAnsi="HGSｺﾞｼｯｸM" w:eastAsia="HGSｺﾞｼｯｸM"/>
          <w:sz w:val="28"/>
          <w:u w:val="thick" w:color="auto"/>
        </w:rPr>
        <w:t>　　　　　　　　　　　　　　　　　　　　　　　</w:t>
      </w:r>
      <w:bookmarkEnd w:id="2"/>
      <w:bookmarkEnd w:id="3"/>
      <w:bookmarkEnd w:id="4"/>
      <w:bookmarkEnd w:id="5"/>
      <w:bookmarkEnd w:id="6"/>
      <w:bookmarkEnd w:id="7"/>
      <w:bookmarkEnd w:id="8"/>
      <w:bookmarkEnd w:id="9"/>
    </w:p>
    <w:p>
      <w:pPr>
        <w:pStyle w:val="0"/>
        <w:rPr>
          <w:rFonts w:hint="default"/>
        </w:rPr>
      </w:pPr>
    </w:p>
    <w:p>
      <w:pPr>
        <w:pStyle w:val="2"/>
        <w:rPr>
          <w:rFonts w:hint="default" w:ascii="HGSｺﾞｼｯｸM" w:hAnsi="HGSｺﾞｼｯｸM" w:eastAsia="HGSｺﾞｼｯｸM"/>
          <w:sz w:val="24"/>
        </w:rPr>
      </w:pPr>
      <w:bookmarkStart w:id="10" w:name="_Toc14868"/>
      <w:bookmarkStart w:id="11" w:name="_Toc1763"/>
      <w:bookmarkStart w:id="12" w:name="_Toc18324"/>
      <w:bookmarkStart w:id="13" w:name="_Toc22344"/>
      <w:bookmarkStart w:id="14" w:name="_Toc23348"/>
      <w:bookmarkStart w:id="15" w:name="_Toc28031"/>
      <w:bookmarkStart w:id="16" w:name="_Toc30186"/>
      <w:bookmarkStart w:id="17" w:name="_Toc32506"/>
      <w:bookmarkStart w:id="18" w:name="_Toc36047460"/>
      <w:bookmarkStart w:id="19" w:name="_Toc4231"/>
      <w:bookmarkStart w:id="20" w:name="_Toc8266"/>
      <w:r>
        <w:rPr>
          <w:rFonts w:hint="eastAsia" w:ascii="HGSｺﾞｼｯｸM" w:hAnsi="HGSｺﾞｼｯｸM" w:eastAsia="HGSｺﾞｼｯｸM"/>
          <w:sz w:val="24"/>
        </w:rPr>
        <w:t>（１）背景と目的</w:t>
      </w:r>
      <w:bookmarkEnd w:id="10"/>
      <w:bookmarkEnd w:id="11"/>
      <w:bookmarkEnd w:id="12"/>
      <w:bookmarkEnd w:id="13"/>
      <w:bookmarkEnd w:id="14"/>
      <w:bookmarkEnd w:id="15"/>
      <w:bookmarkEnd w:id="16"/>
      <w:bookmarkEnd w:id="17"/>
      <w:bookmarkEnd w:id="18"/>
      <w:bookmarkEnd w:id="19"/>
      <w:bookmarkEnd w:id="20"/>
    </w:p>
    <w:p>
      <w:pPr>
        <w:pStyle w:val="0"/>
        <w:widowControl w:val="1"/>
        <w:ind w:firstLine="220" w:firstLineChars="100"/>
        <w:jc w:val="left"/>
        <w:rPr>
          <w:rFonts w:hint="default" w:ascii="HGSｺﾞｼｯｸM" w:hAnsi="HGSｺﾞｼｯｸM" w:eastAsia="HGSｺﾞｼｯｸM"/>
          <w:sz w:val="22"/>
        </w:rPr>
      </w:pPr>
      <w:r>
        <w:rPr>
          <w:rFonts w:hint="eastAsia" w:ascii="HGSｺﾞｼｯｸM" w:hAnsi="HGSｺﾞｼｯｸM" w:eastAsia="HGSｺﾞｼｯｸM"/>
          <w:sz w:val="22"/>
        </w:rPr>
        <w:t>全国的な傾向と同様、南丹市においても人口減少や少子高齢化などの社会情勢の変化や既存の住宅の老朽化等に伴い、空家が年々増加しており、今後も増加すると考えられます。</w:t>
      </w:r>
    </w:p>
    <w:p>
      <w:pPr>
        <w:pStyle w:val="0"/>
        <w:widowControl w:val="1"/>
        <w:ind w:firstLine="220" w:firstLineChars="100"/>
        <w:jc w:val="left"/>
        <w:rPr>
          <w:rFonts w:hint="default" w:ascii="HGSｺﾞｼｯｸM" w:hAnsi="HGSｺﾞｼｯｸM" w:eastAsia="HGSｺﾞｼｯｸM"/>
          <w:sz w:val="22"/>
        </w:rPr>
      </w:pPr>
      <w:r>
        <w:rPr>
          <w:rFonts w:hint="eastAsia" w:ascii="HGSｺﾞｼｯｸM" w:hAnsi="HGSｺﾞｼｯｸM" w:eastAsia="HGSｺﾞｼｯｸM"/>
          <w:sz w:val="22"/>
        </w:rPr>
        <w:t>その中でも、適切な管理が行われずに放置されている空家は、防災・防犯・安全・環境・景観の阻害等多岐にわたる問題を生じさせ、生活環境に悪影響を及ぼしているものもあり、早急な対策の実施が求められています。</w:t>
      </w:r>
    </w:p>
    <w:p>
      <w:pPr>
        <w:pStyle w:val="0"/>
        <w:widowControl w:val="1"/>
        <w:ind w:firstLine="220" w:firstLineChars="100"/>
        <w:jc w:val="left"/>
        <w:rPr>
          <w:rFonts w:hint="default" w:ascii="HGSｺﾞｼｯｸM" w:hAnsi="HGSｺﾞｼｯｸM" w:eastAsia="HGSｺﾞｼｯｸM"/>
          <w:sz w:val="22"/>
        </w:rPr>
      </w:pPr>
      <w:r>
        <w:rPr>
          <w:rFonts w:hint="eastAsia" w:ascii="HGSｺﾞｼｯｸM" w:hAnsi="HGSｺﾞｼｯｸM" w:eastAsia="HGSｺﾞｼｯｸM"/>
          <w:sz w:val="22"/>
        </w:rPr>
        <w:t>これらの問題に対応するため、平成２６年１１月に「空家等対策の推進に関する特別措置法」（以下、「法」という。）が公布され、平成２７年５月には全面施行されました。</w:t>
      </w:r>
    </w:p>
    <w:p>
      <w:pPr>
        <w:pStyle w:val="0"/>
        <w:widowControl w:val="1"/>
        <w:ind w:firstLine="220" w:firstLineChars="100"/>
        <w:jc w:val="left"/>
        <w:rPr>
          <w:rFonts w:hint="default" w:ascii="HGSｺﾞｼｯｸM" w:hAnsi="HGSｺﾞｼｯｸM" w:eastAsia="HGSｺﾞｼｯｸM"/>
          <w:sz w:val="22"/>
        </w:rPr>
      </w:pPr>
      <w:r>
        <w:rPr>
          <w:rFonts w:hint="eastAsia" w:ascii="HGSｺﾞｼｯｸM" w:hAnsi="HGSｺﾞｼｯｸM" w:eastAsia="HGSｺﾞｼｯｸM"/>
          <w:sz w:val="22"/>
        </w:rPr>
        <w:t>法では、市町村は空家等対策計画を作成し、それに基づく対策の実施や必要な措置を適切に講ずるよう努めるものとされています。</w:t>
      </w:r>
    </w:p>
    <w:p>
      <w:pPr>
        <w:pStyle w:val="0"/>
        <w:widowControl w:val="1"/>
        <w:ind w:firstLine="220" w:firstLineChars="100"/>
        <w:jc w:val="left"/>
        <w:rPr>
          <w:rFonts w:hint="default" w:ascii="HGSｺﾞｼｯｸM" w:hAnsi="HGSｺﾞｼｯｸM" w:eastAsia="HGSｺﾞｼｯｸM"/>
          <w:sz w:val="22"/>
        </w:rPr>
      </w:pPr>
      <w:r>
        <w:rPr>
          <w:rFonts w:hint="eastAsia" w:ascii="HGSｺﾞｼｯｸM" w:hAnsi="HGSｺﾞｼｯｸM" w:eastAsia="HGSｺﾞｼｯｸM"/>
          <w:sz w:val="22"/>
        </w:rPr>
        <w:t>このような背景から、南丹市における空家等に関する対策を総合的かつ計画的に実施し、市民等の身体又は財産の保護及び生活環境の保全を図り、もって安全で安心なまちづくりに寄与することを目的に南丹市空家等対策計画（以下「本計画」という。）を策定します。</w:t>
      </w:r>
    </w:p>
    <w:p>
      <w:pPr>
        <w:pStyle w:val="0"/>
        <w:widowControl w:val="1"/>
        <w:ind w:firstLine="220" w:firstLineChars="100"/>
        <w:jc w:val="left"/>
        <w:rPr>
          <w:rFonts w:hint="default" w:ascii="HGSｺﾞｼｯｸM" w:hAnsi="HGSｺﾞｼｯｸM" w:eastAsia="HGSｺﾞｼｯｸM"/>
          <w:sz w:val="22"/>
        </w:rPr>
      </w:pPr>
    </w:p>
    <w:p>
      <w:pPr>
        <w:pStyle w:val="2"/>
        <w:rPr>
          <w:rFonts w:hint="default" w:ascii="HGSｺﾞｼｯｸM" w:hAnsi="HGSｺﾞｼｯｸM" w:eastAsia="HGSｺﾞｼｯｸM"/>
          <w:sz w:val="24"/>
        </w:rPr>
      </w:pPr>
      <w:bookmarkStart w:id="21" w:name="_Toc16161"/>
      <w:bookmarkStart w:id="22" w:name="_Toc16800"/>
      <w:bookmarkStart w:id="23" w:name="_Toc20667"/>
      <w:bookmarkStart w:id="24" w:name="_Toc21112"/>
      <w:bookmarkStart w:id="25" w:name="_Toc21284"/>
      <w:bookmarkStart w:id="26" w:name="_Toc22293"/>
      <w:bookmarkStart w:id="27" w:name="_Toc27907"/>
      <w:bookmarkStart w:id="28" w:name="_Toc30703"/>
      <w:bookmarkStart w:id="29" w:name="_Toc5404"/>
      <w:bookmarkStart w:id="30" w:name="_Toc7735"/>
      <w:r>
        <w:rPr>
          <w:rFonts w:hint="eastAsia" w:ascii="HGSｺﾞｼｯｸM" w:hAnsi="HGSｺﾞｼｯｸM" w:eastAsia="HGSｺﾞｼｯｸM"/>
          <w:sz w:val="24"/>
        </w:rPr>
        <w:t>（２）位置づけ</w:t>
      </w:r>
      <w:bookmarkEnd w:id="21"/>
      <w:bookmarkEnd w:id="22"/>
      <w:bookmarkEnd w:id="23"/>
      <w:bookmarkEnd w:id="24"/>
      <w:bookmarkEnd w:id="25"/>
      <w:bookmarkEnd w:id="26"/>
      <w:bookmarkEnd w:id="27"/>
      <w:bookmarkEnd w:id="28"/>
      <w:bookmarkEnd w:id="29"/>
      <w:bookmarkEnd w:id="30"/>
    </w:p>
    <w:p>
      <w:pPr>
        <w:pStyle w:val="0"/>
        <w:widowControl w:val="1"/>
        <w:jc w:val="left"/>
        <w:rPr>
          <w:rFonts w:hint="default" w:ascii="HGSｺﾞｼｯｸM" w:hAnsi="HGSｺﾞｼｯｸM" w:eastAsia="HGSｺﾞｼｯｸM"/>
          <w:sz w:val="22"/>
        </w:rPr>
      </w:pPr>
      <w:r>
        <w:rPr>
          <w:rFonts w:hint="eastAsia" w:ascii="HGSｺﾞｼｯｸM" w:hAnsi="HGSｺﾞｼｯｸM" w:eastAsia="HGSｺﾞｼｯｸM"/>
          <w:sz w:val="22"/>
        </w:rPr>
        <w:t>　本計画は、法第６条の規定に基づき、国の基本指針に即して定めるものです。</w:t>
      </w:r>
    </w:p>
    <w:p>
      <w:pPr>
        <w:pStyle w:val="0"/>
        <w:widowControl w:val="1"/>
        <w:jc w:val="left"/>
        <w:rPr>
          <w:rFonts w:hint="default" w:ascii="HGSｺﾞｼｯｸM" w:hAnsi="HGSｺﾞｼｯｸM" w:eastAsia="HGSｺﾞｼｯｸM"/>
          <w:sz w:val="22"/>
        </w:rPr>
      </w:pPr>
      <w:r>
        <w:rPr>
          <w:rFonts w:hint="eastAsia" w:ascii="HGSｺﾞｼｯｸM" w:hAnsi="HGSｺﾞｼｯｸM" w:eastAsia="HGSｺﾞｼｯｸM"/>
          <w:sz w:val="22"/>
        </w:rPr>
        <w:t>　計画の推進にあたっては、第２次南丹市総合振興計画のほか、関連する個別計画との整合性を図るものとします。</w:t>
      </w:r>
    </w:p>
    <w:p>
      <w:pPr>
        <w:pStyle w:val="0"/>
        <w:widowControl w:val="1"/>
        <w:jc w:val="left"/>
        <w:rPr>
          <w:rFonts w:hint="default" w:ascii="HGSｺﾞｼｯｸM" w:hAnsi="HGSｺﾞｼｯｸM" w:eastAsia="HGSｺﾞｼｯｸM"/>
          <w:sz w:val="22"/>
        </w:rPr>
      </w:pPr>
    </w:p>
    <w:p>
      <w:pPr>
        <w:pStyle w:val="0"/>
        <w:widowControl w:val="1"/>
        <w:jc w:val="left"/>
        <w:rPr>
          <w:rFonts w:hint="default" w:ascii="HGSｺﾞｼｯｸM" w:hAnsi="HGSｺﾞｼｯｸM" w:eastAsia="HGSｺﾞｼｯｸM"/>
          <w:sz w:val="22"/>
        </w:rPr>
      </w:pPr>
      <w:r>
        <w:rPr>
          <w:rFonts w:hint="eastAsia" w:ascii="HGSｺﾞｼｯｸM" w:hAnsi="HGSｺﾞｼｯｸM" w:eastAsia="HGSｺﾞｼｯｸM"/>
          <w:sz w:val="22"/>
        </w:rPr>
        <w:br w:type="page"/>
      </w:r>
    </w:p>
    <w:p>
      <w:pPr>
        <w:pStyle w:val="1"/>
        <w:rPr>
          <w:rFonts w:hint="default" w:ascii="HGSｺﾞｼｯｸM" w:hAnsi="HGSｺﾞｼｯｸM" w:eastAsia="HGSｺﾞｼｯｸM"/>
          <w:sz w:val="28"/>
          <w:u w:val="thick" w:color="auto"/>
        </w:rPr>
      </w:pPr>
      <w:bookmarkStart w:id="31" w:name="_Toc36047462"/>
      <w:bookmarkStart w:id="32" w:name="_Toc21239"/>
      <w:bookmarkStart w:id="33" w:name="_Toc21783"/>
      <w:bookmarkStart w:id="34" w:name="_Toc22069"/>
      <w:bookmarkStart w:id="35" w:name="_Toc23568"/>
      <w:bookmarkStart w:id="36" w:name="_Toc27676"/>
      <w:bookmarkStart w:id="37" w:name="_Toc28556"/>
      <w:bookmarkStart w:id="38" w:name="_Toc30201"/>
      <w:bookmarkStart w:id="39" w:name="_Toc31447"/>
      <w:bookmarkStart w:id="40" w:name="_Toc32538"/>
      <w:bookmarkStart w:id="41" w:name="_Toc7669"/>
      <w:bookmarkStart w:id="42" w:name="_Toc8421"/>
      <w:bookmarkStart w:id="43" w:name="_Toc8879"/>
      <w:r>
        <w:rPr>
          <w:rFonts w:hint="eastAsia" w:ascii="HGSｺﾞｼｯｸM" w:hAnsi="HGSｺﾞｼｯｸM" w:eastAsia="HGSｺﾞｼｯｸM"/>
          <w:sz w:val="28"/>
          <w:u w:val="thick" w:color="auto"/>
        </w:rPr>
        <w:t>２．南丹市の空家等の現状</w:t>
      </w:r>
      <w:bookmarkEnd w:id="31"/>
      <w:r>
        <w:rPr>
          <w:rFonts w:hint="eastAsia" w:ascii="HGSｺﾞｼｯｸM" w:hAnsi="HGSｺﾞｼｯｸM" w:eastAsia="HGSｺﾞｼｯｸM"/>
          <w:sz w:val="28"/>
          <w:u w:val="thick" w:color="auto"/>
        </w:rPr>
        <w:t>　　　　　　　　　　　　　　　　　　</w:t>
      </w:r>
      <w:bookmarkEnd w:id="32"/>
      <w:bookmarkEnd w:id="33"/>
      <w:bookmarkEnd w:id="34"/>
      <w:bookmarkEnd w:id="35"/>
      <w:bookmarkEnd w:id="36"/>
      <w:bookmarkEnd w:id="37"/>
      <w:bookmarkEnd w:id="38"/>
      <w:bookmarkEnd w:id="39"/>
      <w:bookmarkEnd w:id="40"/>
      <w:bookmarkEnd w:id="41"/>
      <w:bookmarkEnd w:id="42"/>
      <w:bookmarkEnd w:id="43"/>
    </w:p>
    <w:p>
      <w:pPr>
        <w:pStyle w:val="0"/>
        <w:rPr>
          <w:rFonts w:hint="default" w:ascii="HGSｺﾞｼｯｸM" w:hAnsi="HGSｺﾞｼｯｸM" w:eastAsia="HGSｺﾞｼｯｸM"/>
          <w:sz w:val="24"/>
        </w:rPr>
      </w:pPr>
    </w:p>
    <w:p>
      <w:pPr>
        <w:pStyle w:val="2"/>
        <w:rPr>
          <w:rFonts w:hint="default" w:ascii="HGSｺﾞｼｯｸM" w:hAnsi="HGSｺﾞｼｯｸM" w:eastAsia="HGSｺﾞｼｯｸM"/>
          <w:sz w:val="24"/>
        </w:rPr>
      </w:pPr>
      <w:bookmarkStart w:id="44" w:name="_Toc11077"/>
      <w:bookmarkStart w:id="45" w:name="_Toc128"/>
      <w:bookmarkStart w:id="46" w:name="_Toc16082"/>
      <w:bookmarkStart w:id="47" w:name="_Toc21002"/>
      <w:bookmarkStart w:id="48" w:name="_Toc22910"/>
      <w:bookmarkStart w:id="49" w:name="_Toc25065"/>
      <w:bookmarkStart w:id="50" w:name="_Toc28382"/>
      <w:bookmarkStart w:id="51" w:name="_Toc30112"/>
      <w:bookmarkStart w:id="52" w:name="_Toc8921"/>
      <w:bookmarkStart w:id="53" w:name="_Toc9902"/>
      <w:r>
        <w:rPr>
          <w:rFonts w:hint="eastAsia" w:ascii="HGSｺﾞｼｯｸM" w:hAnsi="HGSｺﾞｼｯｸM" w:eastAsia="HGSｺﾞｼｯｸM"/>
          <w:sz w:val="24"/>
        </w:rPr>
        <w:t>（１）南丹市の人口、世帯</w:t>
      </w:r>
      <w:bookmarkEnd w:id="44"/>
      <w:bookmarkEnd w:id="45"/>
      <w:bookmarkEnd w:id="46"/>
      <w:bookmarkEnd w:id="47"/>
      <w:bookmarkEnd w:id="48"/>
      <w:bookmarkEnd w:id="49"/>
      <w:bookmarkEnd w:id="50"/>
      <w:bookmarkEnd w:id="51"/>
      <w:bookmarkEnd w:id="52"/>
      <w:bookmarkEnd w:id="53"/>
    </w:p>
    <w:p>
      <w:pPr>
        <w:pStyle w:val="0"/>
        <w:widowControl w:val="1"/>
        <w:ind w:firstLine="220" w:firstLineChars="100"/>
        <w:jc w:val="left"/>
        <w:rPr>
          <w:rFonts w:hint="default" w:ascii="HGSｺﾞｼｯｸM" w:hAnsi="HGSｺﾞｼｯｸM" w:eastAsia="HGSｺﾞｼｯｸM"/>
          <w:sz w:val="22"/>
        </w:rPr>
      </w:pPr>
      <w:r>
        <w:rPr>
          <w:rFonts w:hint="eastAsia" w:ascii="HGSｺﾞｼｯｸM" w:hAnsi="HGSｺﾞｼｯｸM" w:eastAsia="HGSｺﾞｼｯｸM"/>
          <w:sz w:val="22"/>
        </w:rPr>
        <w:t>近年の南丹市の総人口は、１９９０（平成２）年から１９９５（平成７）年にかけてやや増加したが、それ以降は減少が続き、２０１５（平成２７）年現在で３３，１４５人となっています。</w:t>
      </w:r>
    </w:p>
    <w:p>
      <w:pPr>
        <w:pStyle w:val="0"/>
        <w:widowControl w:val="1"/>
        <w:ind w:firstLine="220" w:firstLineChars="100"/>
        <w:jc w:val="left"/>
        <w:rPr>
          <w:rFonts w:hint="default" w:ascii="HGSｺﾞｼｯｸM" w:hAnsi="HGSｺﾞｼｯｸM" w:eastAsia="HGSｺﾞｼｯｸM"/>
          <w:sz w:val="22"/>
        </w:rPr>
      </w:pPr>
      <w:r>
        <w:rPr>
          <w:rFonts w:hint="eastAsia" w:ascii="HGSｺﾞｼｯｸM" w:hAnsi="HGSｺﾞｼｯｸM" w:eastAsia="HGSｺﾞｼｯｸM"/>
          <w:sz w:val="22"/>
        </w:rPr>
        <w:t>また、年齢構成の推移を見ると、１９９０（平成２）年は年少人口（０～１４歳）が１７．０％、高齢者人口（６５歳以上）が１８．５％だったものが、２０１５（平成２７）年には年少人口が１０．８％、高齢者人口が３３．５％と少子高齢化が進行しています。</w:t>
      </w:r>
    </w:p>
    <w:p>
      <w:pPr>
        <w:pStyle w:val="0"/>
        <w:widowControl w:val="1"/>
        <w:ind w:firstLine="220" w:firstLineChars="100"/>
        <w:jc w:val="left"/>
        <w:rPr>
          <w:rFonts w:hint="default" w:ascii="HGSｺﾞｼｯｸM" w:hAnsi="HGSｺﾞｼｯｸM" w:eastAsia="HGSｺﾞｼｯｸM"/>
          <w:sz w:val="22"/>
        </w:rPr>
      </w:pPr>
    </w:p>
    <w:p>
      <w:pPr>
        <w:pStyle w:val="0"/>
        <w:widowControl w:val="1"/>
        <w:jc w:val="center"/>
        <w:rPr>
          <w:rFonts w:hint="default" w:ascii="HGSｺﾞｼｯｸM" w:hAnsi="HGSｺﾞｼｯｸM" w:eastAsia="HGSｺﾞｼｯｸM"/>
          <w:sz w:val="22"/>
        </w:rPr>
      </w:pPr>
      <w:r>
        <w:rPr>
          <w:rFonts w:hint="eastAsia" w:ascii="HGSｺﾞｼｯｸM" w:hAnsi="HGSｺﾞｼｯｸM" w:eastAsia="HGSｺﾞｼｯｸM"/>
          <w:sz w:val="22"/>
        </w:rPr>
        <w:drawing>
          <wp:inline distT="0" distB="0" distL="0" distR="0">
            <wp:extent cx="4490720" cy="2560955"/>
            <wp:effectExtent l="0" t="0" r="0" b="0"/>
            <wp:docPr id="1027" name="Picture 1"/>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7"/>
                    <a:stretch>
                      <a:fillRect/>
                    </a:stretch>
                  </pic:blipFill>
                  <pic:spPr>
                    <a:xfrm>
                      <a:off x="0" y="0"/>
                      <a:ext cx="4490720" cy="2560955"/>
                    </a:xfrm>
                    <a:prstGeom prst="rect">
                      <a:avLst/>
                    </a:prstGeom>
                    <a:noFill/>
                    <a:ln>
                      <a:noFill/>
                    </a:ln>
                  </pic:spPr>
                </pic:pic>
              </a:graphicData>
            </a:graphic>
          </wp:inline>
        </w:drawing>
      </w:r>
    </w:p>
    <w:p>
      <w:pPr>
        <w:pStyle w:val="0"/>
        <w:widowControl w:val="1"/>
        <w:jc w:val="center"/>
        <w:rPr>
          <w:rFonts w:hint="default" w:ascii="HGSｺﾞｼｯｸM" w:hAnsi="HGSｺﾞｼｯｸM" w:eastAsia="HGSｺﾞｼｯｸM"/>
          <w:sz w:val="22"/>
        </w:rPr>
      </w:pPr>
      <w:r>
        <w:rPr>
          <w:rFonts w:hint="eastAsia" w:ascii="HGSｺﾞｼｯｸM" w:hAnsi="HGSｺﾞｼｯｸM" w:eastAsia="HGSｺﾞｼｯｸM"/>
          <w:sz w:val="22"/>
        </w:rPr>
        <w:drawing>
          <wp:inline distT="0" distB="0" distL="0" distR="0">
            <wp:extent cx="4536440" cy="2720975"/>
            <wp:effectExtent l="0" t="0" r="0" b="0"/>
            <wp:docPr id="1028" name="Picture 1"/>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8"/>
                    <a:stretch>
                      <a:fillRect/>
                    </a:stretch>
                  </pic:blipFill>
                  <pic:spPr>
                    <a:xfrm>
                      <a:off x="0" y="0"/>
                      <a:ext cx="4536440" cy="2720975"/>
                    </a:xfrm>
                    <a:prstGeom prst="rect">
                      <a:avLst/>
                    </a:prstGeom>
                    <a:noFill/>
                    <a:ln>
                      <a:noFill/>
                    </a:ln>
                  </pic:spPr>
                </pic:pic>
              </a:graphicData>
            </a:graphic>
          </wp:inline>
        </w:drawing>
      </w:r>
    </w:p>
    <w:p>
      <w:pPr>
        <w:pStyle w:val="0"/>
        <w:widowControl w:val="1"/>
        <w:jc w:val="left"/>
        <w:rPr>
          <w:rFonts w:hint="default" w:ascii="HGSｺﾞｼｯｸM" w:hAnsi="HGSｺﾞｼｯｸM" w:eastAsia="HGSｺﾞｼｯｸM"/>
          <w:sz w:val="22"/>
        </w:rPr>
      </w:pPr>
      <w:r>
        <w:rPr>
          <w:rFonts w:hint="eastAsia" w:ascii="HGSｺﾞｼｯｸM" w:hAnsi="HGSｺﾞｼｯｸM" w:eastAsia="HGSｺﾞｼｯｸM"/>
          <w:sz w:val="22"/>
        </w:rPr>
        <w:t>　世帯数は、増加の一途をたどっており、２０１５（平成２７）年では１２，７３１世帯となっています。一方、１世帯あたりの人数は、１９９０（平成２）年の３．５１人から２０１５（平成２７）年では２．４７人となっており、世帯構成人員が減少していることがうかがえます。</w:t>
      </w:r>
    </w:p>
    <w:p>
      <w:pPr>
        <w:pStyle w:val="0"/>
        <w:widowControl w:val="1"/>
        <w:jc w:val="center"/>
        <w:rPr>
          <w:rFonts w:hint="default" w:ascii="HGSｺﾞｼｯｸM" w:hAnsi="HGSｺﾞｼｯｸM" w:eastAsia="HGSｺﾞｼｯｸM"/>
          <w:sz w:val="22"/>
        </w:rPr>
      </w:pPr>
      <w:r>
        <w:rPr>
          <w:rFonts w:hint="eastAsia" w:ascii="HGSｺﾞｼｯｸM" w:hAnsi="HGSｺﾞｼｯｸM" w:eastAsia="HGSｺﾞｼｯｸM"/>
          <w:sz w:val="22"/>
        </w:rPr>
        <w:drawing>
          <wp:inline distT="0" distB="0" distL="0" distR="0">
            <wp:extent cx="4472305" cy="2218055"/>
            <wp:effectExtent l="0" t="0" r="0" b="0"/>
            <wp:docPr id="1029" name="Picture 2"/>
            <a:graphic xmlns:a="http://schemas.openxmlformats.org/drawingml/2006/main">
              <a:graphicData uri="http://schemas.openxmlformats.org/drawingml/2006/picture">
                <pic:pic xmlns:pic="http://schemas.openxmlformats.org/drawingml/2006/picture">
                  <pic:nvPicPr>
                    <pic:cNvPr id="1029" name="Picture 2"/>
                    <pic:cNvPicPr>
                      <a:picLocks noChangeAspect="1" noChangeArrowheads="1"/>
                    </pic:cNvPicPr>
                  </pic:nvPicPr>
                  <pic:blipFill>
                    <a:blip r:embed="rId9"/>
                    <a:stretch>
                      <a:fillRect/>
                    </a:stretch>
                  </pic:blipFill>
                  <pic:spPr>
                    <a:xfrm>
                      <a:off x="0" y="0"/>
                      <a:ext cx="4472305" cy="2218055"/>
                    </a:xfrm>
                    <a:prstGeom prst="rect">
                      <a:avLst/>
                    </a:prstGeom>
                    <a:noFill/>
                    <a:ln>
                      <a:noFill/>
                    </a:ln>
                  </pic:spPr>
                </pic:pic>
              </a:graphicData>
            </a:graphic>
          </wp:inline>
        </w:drawing>
      </w:r>
    </w:p>
    <w:p>
      <w:pPr>
        <w:pStyle w:val="0"/>
        <w:widowControl w:val="1"/>
        <w:jc w:val="left"/>
        <w:rPr>
          <w:rFonts w:hint="default" w:ascii="HGSｺﾞｼｯｸM" w:hAnsi="HGSｺﾞｼｯｸM" w:eastAsia="HGSｺﾞｼｯｸM"/>
          <w:sz w:val="22"/>
        </w:rPr>
      </w:pPr>
    </w:p>
    <w:p>
      <w:pPr>
        <w:pStyle w:val="2"/>
        <w:rPr>
          <w:rFonts w:hint="default" w:ascii="HGSｺﾞｼｯｸM" w:hAnsi="HGSｺﾞｼｯｸM" w:eastAsia="HGSｺﾞｼｯｸM"/>
          <w:sz w:val="24"/>
        </w:rPr>
      </w:pPr>
      <w:bookmarkStart w:id="54" w:name="_Toc10640"/>
      <w:bookmarkStart w:id="55" w:name="_Toc13391"/>
      <w:bookmarkStart w:id="56" w:name="_Toc15654"/>
      <w:bookmarkStart w:id="57" w:name="_Toc1985"/>
      <w:bookmarkStart w:id="58" w:name="_Toc23896"/>
      <w:bookmarkStart w:id="59" w:name="_Toc4221"/>
      <w:bookmarkStart w:id="60" w:name="_Toc6347"/>
      <w:bookmarkStart w:id="61" w:name="_Toc6723"/>
      <w:bookmarkStart w:id="62" w:name="_Toc6790"/>
      <w:bookmarkStart w:id="63" w:name="_Toc9679"/>
      <w:r>
        <w:rPr>
          <w:rFonts w:hint="eastAsia" w:ascii="HGSｺﾞｼｯｸM" w:hAnsi="HGSｺﾞｼｯｸM" w:eastAsia="HGSｺﾞｼｯｸM"/>
          <w:sz w:val="24"/>
        </w:rPr>
        <w:t>（２）空家等の現状</w:t>
      </w:r>
      <w:bookmarkEnd w:id="54"/>
      <w:bookmarkEnd w:id="55"/>
      <w:bookmarkEnd w:id="56"/>
      <w:bookmarkEnd w:id="57"/>
      <w:bookmarkEnd w:id="58"/>
      <w:bookmarkEnd w:id="59"/>
      <w:bookmarkEnd w:id="60"/>
      <w:bookmarkEnd w:id="61"/>
      <w:bookmarkEnd w:id="62"/>
      <w:bookmarkEnd w:id="63"/>
    </w:p>
    <w:p>
      <w:pPr>
        <w:pStyle w:val="0"/>
        <w:widowControl w:val="1"/>
        <w:ind w:firstLine="220" w:firstLineChars="100"/>
        <w:jc w:val="left"/>
        <w:rPr>
          <w:rFonts w:hint="default" w:ascii="HGSｺﾞｼｯｸM" w:hAnsi="HGSｺﾞｼｯｸM" w:eastAsia="HGSｺﾞｼｯｸM"/>
          <w:sz w:val="22"/>
        </w:rPr>
      </w:pPr>
      <w:r>
        <w:rPr>
          <w:rFonts w:hint="eastAsia" w:ascii="HGSｺﾞｼｯｸM" w:hAnsi="HGSｺﾞｼｯｸM" w:eastAsia="HGSｺﾞｼｯｸM"/>
          <w:sz w:val="22"/>
        </w:rPr>
        <w:t>国が５年ごとに実施する住宅・土地統計調査（※）によると、２０１８（平成３０）年における本市の空家数は３，２１０戸で、住宅総数に占める割合（空家率）は１９．４％となっています。全国及び京都府と比較すると、空き家率はいずれも高い値となっています。</w:t>
      </w:r>
    </w:p>
    <w:p>
      <w:pPr>
        <w:pStyle w:val="0"/>
        <w:widowControl w:val="1"/>
        <w:ind w:firstLine="220" w:firstLineChars="100"/>
        <w:jc w:val="left"/>
        <w:rPr>
          <w:rFonts w:hint="default" w:ascii="HGSｺﾞｼｯｸM" w:hAnsi="HGSｺﾞｼｯｸM" w:eastAsia="HGSｺﾞｼｯｸM"/>
          <w:sz w:val="22"/>
        </w:rPr>
      </w:pPr>
    </w:p>
    <w:tbl>
      <w:tblPr>
        <w:tblStyle w:val="35"/>
        <w:tblW w:w="8820" w:type="dxa"/>
        <w:tblInd w:w="-72" w:type="dxa"/>
        <w:tblLayout w:type="fixed"/>
        <w:tblLook w:firstRow="1" w:lastRow="0" w:firstColumn="1" w:lastColumn="0" w:noHBand="0" w:noVBand="1" w:val="04A0"/>
      </w:tblPr>
      <w:tblGrid>
        <w:gridCol w:w="8820"/>
      </w:tblGrid>
      <w:tr>
        <w:trPr>
          <w:trHeight w:val="5190" w:hRule="atLeast"/>
        </w:trPr>
        <w:tc>
          <w:tcPr>
            <w:tcW w:w="8820" w:type="dxa"/>
            <w:vAlign w:val="top"/>
          </w:tcPr>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※住宅・土地統計調査について</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住宅・土地統計調査は、住宅とそこに居住する世帯の居住状況、世帯の保有する土地等の実態を把握し、その現状を明らかにするための調査で、国が５年ごとに実施しています。国勢調査のような全数調査でなく標本調査（抜き取り調査）であり、調査結果の数値は推計値となっています。</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また、この調査における「空き家」には、アパート、マンション等の集合（共同）住宅の「空き室」が１戸と数えられています。</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【住宅・土地統計における空き家】</w:t>
            </w:r>
          </w:p>
          <w:tbl>
            <w:tblPr>
              <w:tblStyle w:val="36"/>
              <w:tblW w:w="0" w:type="auto"/>
              <w:tblInd w:w="0" w:type="dxa"/>
              <w:tblLayout w:type="fixed"/>
              <w:tblLook w:firstRow="1" w:lastRow="0" w:firstColumn="1" w:lastColumn="0" w:noHBand="0" w:noVBand="1" w:val="04A0"/>
            </w:tblPr>
            <w:tblGrid>
              <w:gridCol w:w="1620"/>
              <w:gridCol w:w="6912"/>
            </w:tblGrid>
            <w:tr>
              <w:trPr/>
              <w:tc>
                <w:tcPr>
                  <w:tcW w:w="1620" w:type="dxa"/>
                  <w:vAlign w:val="top"/>
                </w:tcPr>
                <w:p>
                  <w:pPr>
                    <w:pStyle w:val="0"/>
                    <w:rPr>
                      <w:rFonts w:hint="eastAsia" w:ascii="HGPｺﾞｼｯｸM" w:hAnsi="HGPｺﾞｼｯｸM" w:eastAsia="HGPｺﾞｼｯｸM"/>
                      <w:color w:val="auto"/>
                      <w:sz w:val="21"/>
                    </w:rPr>
                  </w:pPr>
                  <w:r>
                    <w:rPr>
                      <w:rFonts w:hint="eastAsia" w:ascii="HGPｺﾞｼｯｸM" w:hAnsi="HGPｺﾞｼｯｸM" w:eastAsia="HGPｺﾞｼｯｸM"/>
                      <w:color w:val="auto"/>
                      <w:sz w:val="21"/>
                    </w:rPr>
                    <w:t>二次的住宅</w:t>
                  </w:r>
                </w:p>
              </w:tc>
              <w:tc>
                <w:tcPr>
                  <w:tcW w:w="6912" w:type="dxa"/>
                  <w:vAlign w:val="top"/>
                </w:tcPr>
                <w:p>
                  <w:pPr>
                    <w:pStyle w:val="0"/>
                    <w:rPr>
                      <w:rFonts w:hint="eastAsia" w:ascii="HGPｺﾞｼｯｸM" w:hAnsi="HGPｺﾞｼｯｸM" w:eastAsia="HGPｺﾞｼｯｸM"/>
                      <w:color w:val="auto"/>
                      <w:sz w:val="21"/>
                    </w:rPr>
                  </w:pPr>
                  <w:r>
                    <w:rPr>
                      <w:rFonts w:hint="eastAsia" w:ascii="HGPｺﾞｼｯｸM" w:hAnsi="HGPｺﾞｼｯｸM" w:eastAsia="HGPｺﾞｼｯｸM"/>
                      <w:color w:val="auto"/>
                      <w:sz w:val="21"/>
                    </w:rPr>
                    <w:t>週末や休暇時に避暑・避寒・保養などの目的で使用される住宅で、普段は人が住んでいない住宅</w:t>
                  </w:r>
                </w:p>
              </w:tc>
            </w:tr>
            <w:tr>
              <w:trPr/>
              <w:tc>
                <w:tcPr>
                  <w:tcW w:w="1620" w:type="dxa"/>
                  <w:vAlign w:val="top"/>
                </w:tcPr>
                <w:p>
                  <w:pPr>
                    <w:pStyle w:val="0"/>
                    <w:rPr>
                      <w:rFonts w:hint="eastAsia" w:ascii="HGPｺﾞｼｯｸM" w:hAnsi="HGPｺﾞｼｯｸM" w:eastAsia="HGPｺﾞｼｯｸM"/>
                      <w:color w:val="auto"/>
                      <w:sz w:val="21"/>
                    </w:rPr>
                  </w:pPr>
                  <w:r>
                    <w:rPr>
                      <w:rFonts w:hint="eastAsia" w:ascii="HGPｺﾞｼｯｸM" w:hAnsi="HGPｺﾞｼｯｸM" w:eastAsia="HGPｺﾞｼｯｸM"/>
                      <w:color w:val="auto"/>
                      <w:sz w:val="21"/>
                    </w:rPr>
                    <w:t>賃貸用・売却用</w:t>
                  </w:r>
                </w:p>
              </w:tc>
              <w:tc>
                <w:tcPr>
                  <w:tcW w:w="6912" w:type="dxa"/>
                  <w:vAlign w:val="top"/>
                </w:tcPr>
                <w:p>
                  <w:pPr>
                    <w:pStyle w:val="0"/>
                    <w:rPr>
                      <w:rFonts w:hint="eastAsia" w:ascii="HGPｺﾞｼｯｸM" w:hAnsi="HGPｺﾞｼｯｸM" w:eastAsia="HGPｺﾞｼｯｸM"/>
                      <w:color w:val="auto"/>
                      <w:sz w:val="21"/>
                    </w:rPr>
                  </w:pPr>
                  <w:r>
                    <w:rPr>
                      <w:rFonts w:hint="eastAsia" w:ascii="HGPｺﾞｼｯｸM" w:hAnsi="HGPｺﾞｼｯｸM" w:eastAsia="HGPｺﾞｼｯｸM"/>
                      <w:color w:val="auto"/>
                      <w:sz w:val="21"/>
                    </w:rPr>
                    <w:t>新築・中古を問わず、賃貸または売却のために空き家になっている住宅</w:t>
                  </w:r>
                </w:p>
              </w:tc>
            </w:tr>
            <w:tr>
              <w:trPr/>
              <w:tc>
                <w:tcPr>
                  <w:tcW w:w="1620" w:type="dxa"/>
                  <w:vAlign w:val="top"/>
                </w:tcPr>
                <w:p>
                  <w:pPr>
                    <w:pStyle w:val="0"/>
                    <w:rPr>
                      <w:rFonts w:hint="eastAsia" w:ascii="HGPｺﾞｼｯｸM" w:hAnsi="HGPｺﾞｼｯｸM" w:eastAsia="HGPｺﾞｼｯｸM"/>
                      <w:color w:val="auto"/>
                      <w:sz w:val="21"/>
                    </w:rPr>
                  </w:pPr>
                  <w:r>
                    <w:rPr>
                      <w:rFonts w:hint="eastAsia" w:ascii="HGPｺﾞｼｯｸM" w:hAnsi="HGPｺﾞｼｯｸM" w:eastAsia="HGPｺﾞｼｯｸM"/>
                      <w:color w:val="auto"/>
                      <w:sz w:val="21"/>
                    </w:rPr>
                    <w:t>その他の住宅</w:t>
                  </w:r>
                </w:p>
              </w:tc>
              <w:tc>
                <w:tcPr>
                  <w:tcW w:w="6912" w:type="dxa"/>
                  <w:vAlign w:val="top"/>
                </w:tcPr>
                <w:p>
                  <w:pPr>
                    <w:pStyle w:val="0"/>
                    <w:rPr>
                      <w:rFonts w:hint="eastAsia" w:ascii="HGPｺﾞｼｯｸM" w:hAnsi="HGPｺﾞｼｯｸM" w:eastAsia="HGPｺﾞｼｯｸM"/>
                      <w:color w:val="auto"/>
                      <w:sz w:val="21"/>
                    </w:rPr>
                  </w:pPr>
                  <w:r>
                    <w:rPr>
                      <w:rFonts w:hint="eastAsia" w:ascii="HGPｺﾞｼｯｸM" w:hAnsi="HGPｺﾞｼｯｸM" w:eastAsia="HGPｺﾞｼｯｸM"/>
                      <w:color w:val="auto"/>
                      <w:sz w:val="21"/>
                    </w:rPr>
                    <w:t>上記以外の人が住んでいない住宅で、例えば、転勤・入院などのため居住世帯が長期にわたって不在の住宅や建て替えなどのために取り壊すことになっている住宅など（空き家の区分の判断が困難な住宅を含む。）</w:t>
                  </w:r>
                </w:p>
              </w:tc>
            </w:tr>
          </w:tbl>
          <w:p>
            <w:pPr>
              <w:pStyle w:val="0"/>
              <w:widowControl w:val="1"/>
              <w:jc w:val="left"/>
              <w:rPr>
                <w:rFonts w:hint="default" w:ascii="HGSｺﾞｼｯｸM" w:hAnsi="HGSｺﾞｼｯｸM" w:eastAsia="HGSｺﾞｼｯｸM"/>
                <w:color w:val="auto"/>
                <w:sz w:val="22"/>
              </w:rPr>
            </w:pPr>
          </w:p>
        </w:tc>
      </w:tr>
    </w:tbl>
    <w:p>
      <w:pPr>
        <w:pStyle w:val="0"/>
        <w:widowControl w:val="1"/>
        <w:ind w:leftChars="0" w:firstLine="0" w:firstLineChars="0"/>
        <w:jc w:val="left"/>
        <w:rPr>
          <w:rFonts w:hint="default" w:ascii="HGSｺﾞｼｯｸM" w:hAnsi="HGSｺﾞｼｯｸM" w:eastAsia="HGSｺﾞｼｯｸM"/>
          <w:sz w:val="22"/>
        </w:rPr>
      </w:pPr>
    </w:p>
    <w:tbl>
      <w:tblPr>
        <w:tblStyle w:val="11"/>
        <w:tblW w:w="8564" w:type="dxa"/>
        <w:tblInd w:w="-5" w:type="dxa"/>
        <w:tblLayout w:type="fixed"/>
        <w:tblCellMar>
          <w:left w:w="99" w:type="dxa"/>
          <w:right w:w="99" w:type="dxa"/>
        </w:tblCellMar>
        <w:tblLook w:firstRow="1" w:lastRow="0" w:firstColumn="1" w:lastColumn="0" w:noHBand="0" w:noVBand="1" w:val="04A0"/>
      </w:tblPr>
      <w:tblGrid>
        <w:gridCol w:w="1080"/>
        <w:gridCol w:w="1904"/>
        <w:gridCol w:w="1860"/>
        <w:gridCol w:w="1860"/>
        <w:gridCol w:w="1860"/>
      </w:tblGrid>
      <w:tr>
        <w:trPr>
          <w:trHeight w:val="360" w:hRule="atLeast"/>
        </w:trPr>
        <w:tc>
          <w:tcPr>
            <w:tcW w:w="10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　</w:t>
            </w:r>
          </w:p>
        </w:tc>
        <w:tc>
          <w:tcPr>
            <w:tcW w:w="1904"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調査年</w:t>
            </w:r>
          </w:p>
        </w:tc>
        <w:tc>
          <w:tcPr>
            <w:tcW w:w="1860"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住宅総数（戸）</w:t>
            </w:r>
          </w:p>
        </w:tc>
        <w:tc>
          <w:tcPr>
            <w:tcW w:w="1860"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空き家数（戸）</w:t>
            </w:r>
          </w:p>
        </w:tc>
        <w:tc>
          <w:tcPr>
            <w:tcW w:w="1860"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空き家率（％）</w:t>
            </w:r>
          </w:p>
        </w:tc>
      </w:tr>
      <w:tr>
        <w:trPr>
          <w:trHeight w:val="360" w:hRule="atLeast"/>
        </w:trPr>
        <w:tc>
          <w:tcPr>
            <w:tcW w:w="1080"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全国</w:t>
            </w:r>
          </w:p>
        </w:tc>
        <w:tc>
          <w:tcPr>
            <w:tcW w:w="19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2008</w:t>
            </w:r>
            <w:r>
              <w:rPr>
                <w:rFonts w:hint="eastAsia" w:ascii="HGSｺﾞｼｯｸM" w:hAnsi="HGSｺﾞｼｯｸM" w:eastAsia="HGSｺﾞｼｯｸM"/>
                <w:color w:val="auto"/>
                <w:kern w:val="0"/>
                <w:sz w:val="22"/>
              </w:rPr>
              <w:t>年</w:t>
            </w:r>
          </w:p>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（平成</w:t>
            </w:r>
            <w:r>
              <w:rPr>
                <w:rFonts w:hint="eastAsia" w:ascii="HGSｺﾞｼｯｸM" w:hAnsi="HGSｺﾞｼｯｸM" w:eastAsia="HGSｺﾞｼｯｸM"/>
                <w:color w:val="auto"/>
                <w:kern w:val="0"/>
                <w:sz w:val="22"/>
              </w:rPr>
              <w:t>20</w:t>
            </w:r>
            <w:r>
              <w:rPr>
                <w:rFonts w:hint="eastAsia" w:ascii="HGSｺﾞｼｯｸM" w:hAnsi="HGSｺﾞｼｯｸM" w:eastAsia="HGSｺﾞｼｯｸM"/>
                <w:color w:val="auto"/>
                <w:kern w:val="0"/>
                <w:sz w:val="22"/>
              </w:rPr>
              <w:t>年）</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57,586,000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7,567,900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13.1</w:t>
            </w:r>
          </w:p>
        </w:tc>
      </w:tr>
      <w:tr>
        <w:trPr>
          <w:trHeight w:val="360" w:hRule="atLeast"/>
        </w:trPr>
        <w:tc>
          <w:tcPr>
            <w:tcW w:w="10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HGSｺﾞｼｯｸM" w:hAnsi="HGSｺﾞｼｯｸM" w:eastAsia="HGSｺﾞｼｯｸM"/>
                <w:color w:val="000000"/>
                <w:kern w:val="0"/>
                <w:sz w:val="22"/>
              </w:rPr>
            </w:pPr>
          </w:p>
        </w:tc>
        <w:tc>
          <w:tcPr>
            <w:tcW w:w="19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2013</w:t>
            </w:r>
            <w:r>
              <w:rPr>
                <w:rFonts w:hint="eastAsia" w:ascii="HGSｺﾞｼｯｸM" w:hAnsi="HGSｺﾞｼｯｸM" w:eastAsia="HGSｺﾞｼｯｸM"/>
                <w:color w:val="auto"/>
                <w:kern w:val="0"/>
                <w:sz w:val="22"/>
              </w:rPr>
              <w:t>年</w:t>
            </w:r>
          </w:p>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（平成</w:t>
            </w:r>
            <w:r>
              <w:rPr>
                <w:rFonts w:hint="eastAsia" w:ascii="HGSｺﾞｼｯｸM" w:hAnsi="HGSｺﾞｼｯｸM" w:eastAsia="HGSｺﾞｼｯｸM"/>
                <w:color w:val="auto"/>
                <w:kern w:val="0"/>
                <w:sz w:val="22"/>
              </w:rPr>
              <w:t>25</w:t>
            </w:r>
            <w:r>
              <w:rPr>
                <w:rFonts w:hint="eastAsia" w:ascii="HGSｺﾞｼｯｸM" w:hAnsi="HGSｺﾞｼｯｸM" w:eastAsia="HGSｺﾞｼｯｸM"/>
                <w:color w:val="auto"/>
                <w:kern w:val="0"/>
                <w:sz w:val="22"/>
              </w:rPr>
              <w:t>年）</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60,628,600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8,195,600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13.5</w:t>
            </w:r>
          </w:p>
        </w:tc>
      </w:tr>
      <w:tr>
        <w:trPr>
          <w:trHeight w:val="360" w:hRule="atLeast"/>
        </w:trPr>
        <w:tc>
          <w:tcPr>
            <w:tcW w:w="10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HGSｺﾞｼｯｸM" w:hAnsi="HGSｺﾞｼｯｸM" w:eastAsia="HGSｺﾞｼｯｸM"/>
                <w:color w:val="000000"/>
                <w:kern w:val="0"/>
                <w:sz w:val="22"/>
              </w:rPr>
            </w:pPr>
          </w:p>
        </w:tc>
        <w:tc>
          <w:tcPr>
            <w:tcW w:w="19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2018</w:t>
            </w:r>
          </w:p>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（平成</w:t>
            </w:r>
            <w:r>
              <w:rPr>
                <w:rFonts w:hint="eastAsia" w:ascii="HGSｺﾞｼｯｸM" w:hAnsi="HGSｺﾞｼｯｸM" w:eastAsia="HGSｺﾞｼｯｸM"/>
                <w:color w:val="auto"/>
                <w:kern w:val="0"/>
                <w:sz w:val="22"/>
              </w:rPr>
              <w:t>30</w:t>
            </w:r>
            <w:r>
              <w:rPr>
                <w:rFonts w:hint="eastAsia" w:ascii="HGSｺﾞｼｯｸM" w:hAnsi="HGSｺﾞｼｯｸM" w:eastAsia="HGSｺﾞｼｯｸM"/>
                <w:color w:val="auto"/>
                <w:kern w:val="0"/>
                <w:sz w:val="22"/>
              </w:rPr>
              <w:t>年）</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62,407,400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8,488,600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13.6</w:t>
            </w:r>
          </w:p>
        </w:tc>
      </w:tr>
      <w:tr>
        <w:trPr>
          <w:trHeight w:val="360" w:hRule="atLeast"/>
        </w:trPr>
        <w:tc>
          <w:tcPr>
            <w:tcW w:w="1080"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京都府</w:t>
            </w:r>
          </w:p>
        </w:tc>
        <w:tc>
          <w:tcPr>
            <w:tcW w:w="19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2008</w:t>
            </w:r>
            <w:r>
              <w:rPr>
                <w:rFonts w:hint="eastAsia" w:ascii="HGSｺﾞｼｯｸM" w:hAnsi="HGSｺﾞｼｯｸM" w:eastAsia="HGSｺﾞｼｯｸM"/>
                <w:color w:val="auto"/>
                <w:kern w:val="0"/>
                <w:sz w:val="22"/>
              </w:rPr>
              <w:t>年</w:t>
            </w:r>
          </w:p>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（平成</w:t>
            </w:r>
            <w:r>
              <w:rPr>
                <w:rFonts w:hint="eastAsia" w:ascii="HGSｺﾞｼｯｸM" w:hAnsi="HGSｺﾞｼｯｸM" w:eastAsia="HGSｺﾞｼｯｸM"/>
                <w:color w:val="auto"/>
                <w:kern w:val="0"/>
                <w:sz w:val="22"/>
              </w:rPr>
              <w:t>20</w:t>
            </w:r>
            <w:r>
              <w:rPr>
                <w:rFonts w:hint="eastAsia" w:ascii="HGSｺﾞｼｯｸM" w:hAnsi="HGSｺﾞｼｯｸM" w:eastAsia="HGSｺﾞｼｯｸM"/>
                <w:color w:val="auto"/>
                <w:kern w:val="0"/>
                <w:sz w:val="22"/>
              </w:rPr>
              <w:t>年）</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1,270,200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167,000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13.1</w:t>
            </w:r>
          </w:p>
        </w:tc>
      </w:tr>
      <w:tr>
        <w:trPr>
          <w:trHeight w:val="360" w:hRule="atLeast"/>
        </w:trPr>
        <w:tc>
          <w:tcPr>
            <w:tcW w:w="10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HGSｺﾞｼｯｸM" w:hAnsi="HGSｺﾞｼｯｸM" w:eastAsia="HGSｺﾞｼｯｸM"/>
                <w:color w:val="000000"/>
                <w:kern w:val="0"/>
                <w:sz w:val="22"/>
              </w:rPr>
            </w:pPr>
          </w:p>
        </w:tc>
        <w:tc>
          <w:tcPr>
            <w:tcW w:w="19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2013</w:t>
            </w:r>
            <w:r>
              <w:rPr>
                <w:rFonts w:hint="eastAsia" w:ascii="HGSｺﾞｼｯｸM" w:hAnsi="HGSｺﾞｼｯｸM" w:eastAsia="HGSｺﾞｼｯｸM"/>
                <w:color w:val="auto"/>
                <w:kern w:val="0"/>
                <w:sz w:val="22"/>
              </w:rPr>
              <w:t>年</w:t>
            </w:r>
          </w:p>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（平成</w:t>
            </w:r>
            <w:r>
              <w:rPr>
                <w:rFonts w:hint="eastAsia" w:ascii="HGSｺﾞｼｯｸM" w:hAnsi="HGSｺﾞｼｯｸM" w:eastAsia="HGSｺﾞｼｯｸM"/>
                <w:color w:val="auto"/>
                <w:kern w:val="0"/>
                <w:sz w:val="22"/>
              </w:rPr>
              <w:t>25</w:t>
            </w:r>
            <w:r>
              <w:rPr>
                <w:rFonts w:hint="eastAsia" w:ascii="HGSｺﾞｼｯｸM" w:hAnsi="HGSｺﾞｼｯｸM" w:eastAsia="HGSｺﾞｼｯｸM"/>
                <w:color w:val="auto"/>
                <w:kern w:val="0"/>
                <w:sz w:val="22"/>
              </w:rPr>
              <w:t>年）</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1,320,300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175,300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13.3</w:t>
            </w:r>
          </w:p>
        </w:tc>
      </w:tr>
      <w:tr>
        <w:trPr>
          <w:trHeight w:val="360" w:hRule="atLeast"/>
        </w:trPr>
        <w:tc>
          <w:tcPr>
            <w:tcW w:w="10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HGSｺﾞｼｯｸM" w:hAnsi="HGSｺﾞｼｯｸM" w:eastAsia="HGSｺﾞｼｯｸM"/>
                <w:color w:val="000000"/>
                <w:kern w:val="0"/>
                <w:sz w:val="22"/>
              </w:rPr>
            </w:pPr>
          </w:p>
        </w:tc>
        <w:tc>
          <w:tcPr>
            <w:tcW w:w="19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2018</w:t>
            </w:r>
          </w:p>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（平成</w:t>
            </w:r>
            <w:r>
              <w:rPr>
                <w:rFonts w:hint="eastAsia" w:ascii="HGSｺﾞｼｯｸM" w:hAnsi="HGSｺﾞｼｯｸM" w:eastAsia="HGSｺﾞｼｯｸM"/>
                <w:color w:val="auto"/>
                <w:kern w:val="0"/>
                <w:sz w:val="22"/>
              </w:rPr>
              <w:t>30</w:t>
            </w:r>
            <w:r>
              <w:rPr>
                <w:rFonts w:hint="eastAsia" w:ascii="HGSｺﾞｼｯｸM" w:hAnsi="HGSｺﾞｼｯｸM" w:eastAsia="HGSｺﾞｼｯｸM"/>
                <w:color w:val="auto"/>
                <w:kern w:val="0"/>
                <w:sz w:val="22"/>
              </w:rPr>
              <w:t>年）</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1,338,300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171,800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12.8</w:t>
            </w:r>
          </w:p>
        </w:tc>
      </w:tr>
      <w:tr>
        <w:trPr>
          <w:trHeight w:val="360" w:hRule="atLeast"/>
        </w:trPr>
        <w:tc>
          <w:tcPr>
            <w:tcW w:w="1080"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南丹市</w:t>
            </w:r>
          </w:p>
        </w:tc>
        <w:tc>
          <w:tcPr>
            <w:tcW w:w="19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2008</w:t>
            </w:r>
            <w:r>
              <w:rPr>
                <w:rFonts w:hint="eastAsia" w:ascii="HGSｺﾞｼｯｸM" w:hAnsi="HGSｺﾞｼｯｸM" w:eastAsia="HGSｺﾞｼｯｸM"/>
                <w:color w:val="auto"/>
                <w:kern w:val="0"/>
                <w:sz w:val="22"/>
              </w:rPr>
              <w:t>年</w:t>
            </w:r>
          </w:p>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（平成</w:t>
            </w:r>
            <w:r>
              <w:rPr>
                <w:rFonts w:hint="eastAsia" w:ascii="HGSｺﾞｼｯｸM" w:hAnsi="HGSｺﾞｼｯｸM" w:eastAsia="HGSｺﾞｼｯｸM"/>
                <w:color w:val="auto"/>
                <w:kern w:val="0"/>
                <w:sz w:val="22"/>
              </w:rPr>
              <w:t>20</w:t>
            </w:r>
            <w:r>
              <w:rPr>
                <w:rFonts w:hint="eastAsia" w:ascii="HGSｺﾞｼｯｸM" w:hAnsi="HGSｺﾞｼｯｸM" w:eastAsia="HGSｺﾞｼｯｸM"/>
                <w:color w:val="auto"/>
                <w:kern w:val="0"/>
                <w:sz w:val="22"/>
              </w:rPr>
              <w:t>年）</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16,200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2,130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13.1</w:t>
            </w:r>
          </w:p>
        </w:tc>
      </w:tr>
      <w:tr>
        <w:trPr>
          <w:trHeight w:val="360" w:hRule="atLeast"/>
        </w:trPr>
        <w:tc>
          <w:tcPr>
            <w:tcW w:w="10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HGSｺﾞｼｯｸM" w:hAnsi="HGSｺﾞｼｯｸM" w:eastAsia="HGSｺﾞｼｯｸM"/>
                <w:color w:val="000000"/>
                <w:kern w:val="0"/>
                <w:sz w:val="22"/>
              </w:rPr>
            </w:pPr>
          </w:p>
        </w:tc>
        <w:tc>
          <w:tcPr>
            <w:tcW w:w="19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2013</w:t>
            </w:r>
            <w:r>
              <w:rPr>
                <w:rFonts w:hint="eastAsia" w:ascii="HGSｺﾞｼｯｸM" w:hAnsi="HGSｺﾞｼｯｸM" w:eastAsia="HGSｺﾞｼｯｸM"/>
                <w:color w:val="auto"/>
                <w:kern w:val="0"/>
                <w:sz w:val="22"/>
              </w:rPr>
              <w:t>年</w:t>
            </w:r>
          </w:p>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（平成</w:t>
            </w:r>
            <w:r>
              <w:rPr>
                <w:rFonts w:hint="eastAsia" w:ascii="HGSｺﾞｼｯｸM" w:hAnsi="HGSｺﾞｼｯｸM" w:eastAsia="HGSｺﾞｼｯｸM"/>
                <w:color w:val="auto"/>
                <w:kern w:val="0"/>
                <w:sz w:val="22"/>
              </w:rPr>
              <w:t>25</w:t>
            </w:r>
            <w:r>
              <w:rPr>
                <w:rFonts w:hint="eastAsia" w:ascii="HGSｺﾞｼｯｸM" w:hAnsi="HGSｺﾞｼｯｸM" w:eastAsia="HGSｺﾞｼｯｸM"/>
                <w:color w:val="auto"/>
                <w:kern w:val="0"/>
                <w:sz w:val="22"/>
              </w:rPr>
              <w:t>年）</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16,290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3,290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20.2</w:t>
            </w:r>
          </w:p>
        </w:tc>
      </w:tr>
      <w:tr>
        <w:trPr>
          <w:trHeight w:val="360" w:hRule="atLeast"/>
        </w:trPr>
        <w:tc>
          <w:tcPr>
            <w:tcW w:w="1080"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HGSｺﾞｼｯｸM" w:hAnsi="HGSｺﾞｼｯｸM" w:eastAsia="HGSｺﾞｼｯｸM"/>
                <w:color w:val="000000"/>
                <w:kern w:val="0"/>
                <w:sz w:val="22"/>
              </w:rPr>
            </w:pPr>
          </w:p>
        </w:tc>
        <w:tc>
          <w:tcPr>
            <w:tcW w:w="1904"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2018</w:t>
            </w:r>
            <w:r>
              <w:rPr>
                <w:rFonts w:hint="eastAsia" w:ascii="HGSｺﾞｼｯｸM" w:hAnsi="HGSｺﾞｼｯｸM" w:eastAsia="HGSｺﾞｼｯｸM"/>
                <w:color w:val="auto"/>
                <w:kern w:val="0"/>
                <w:sz w:val="22"/>
              </w:rPr>
              <w:t>年</w:t>
            </w:r>
          </w:p>
          <w:p>
            <w:pPr>
              <w:pStyle w:val="0"/>
              <w:widowControl w:val="1"/>
              <w:jc w:val="center"/>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（平成</w:t>
            </w:r>
            <w:r>
              <w:rPr>
                <w:rFonts w:hint="eastAsia" w:ascii="HGSｺﾞｼｯｸM" w:hAnsi="HGSｺﾞｼｯｸM" w:eastAsia="HGSｺﾞｼｯｸM"/>
                <w:color w:val="auto"/>
                <w:kern w:val="0"/>
                <w:sz w:val="22"/>
              </w:rPr>
              <w:t>30</w:t>
            </w:r>
            <w:r>
              <w:rPr>
                <w:rFonts w:hint="eastAsia" w:ascii="HGSｺﾞｼｯｸM" w:hAnsi="HGSｺﾞｼｯｸM" w:eastAsia="HGSｺﾞｼｯｸM"/>
                <w:color w:val="auto"/>
                <w:kern w:val="0"/>
                <w:sz w:val="22"/>
              </w:rPr>
              <w:t>年）</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16,560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3,210</w:t>
            </w:r>
          </w:p>
        </w:tc>
        <w:tc>
          <w:tcPr>
            <w:tcW w:w="1860" w:type="dxa"/>
            <w:tcBorders>
              <w:top w:val="nil"/>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right"/>
              <w:rPr>
                <w:rFonts w:hint="default" w:ascii="HGSｺﾞｼｯｸM" w:hAnsi="HGSｺﾞｼｯｸM" w:eastAsia="HGSｺﾞｼｯｸM"/>
                <w:color w:val="auto"/>
                <w:kern w:val="0"/>
                <w:sz w:val="22"/>
              </w:rPr>
            </w:pPr>
            <w:r>
              <w:rPr>
                <w:rFonts w:hint="eastAsia" w:ascii="HGSｺﾞｼｯｸM" w:hAnsi="HGSｺﾞｼｯｸM" w:eastAsia="HGSｺﾞｼｯｸM"/>
                <w:color w:val="auto"/>
                <w:kern w:val="0"/>
                <w:sz w:val="22"/>
              </w:rPr>
              <w:t>19.4</w:t>
            </w:r>
          </w:p>
        </w:tc>
      </w:tr>
    </w:tbl>
    <w:p>
      <w:pPr>
        <w:pStyle w:val="0"/>
        <w:widowControl w:val="1"/>
        <w:jc w:val="right"/>
        <w:rPr>
          <w:rFonts w:hint="default" w:ascii="HGSｺﾞｼｯｸM" w:hAnsi="HGSｺﾞｼｯｸM" w:eastAsia="HGSｺﾞｼｯｸM"/>
          <w:sz w:val="18"/>
        </w:rPr>
      </w:pPr>
      <w:r>
        <w:rPr>
          <w:rFonts w:hint="eastAsia" w:ascii="HGSｺﾞｼｯｸM" w:hAnsi="HGSｺﾞｼｯｸM" w:eastAsia="HGSｺﾞｼｯｸM"/>
          <w:sz w:val="18"/>
        </w:rPr>
        <w:t>資料：住宅・土地統計調査（総務省統計局）</w:t>
      </w:r>
    </w:p>
    <w:p>
      <w:pPr>
        <w:pStyle w:val="0"/>
        <w:widowControl w:val="1"/>
        <w:jc w:val="left"/>
        <w:rPr>
          <w:rFonts w:hint="default" w:ascii="HGSｺﾞｼｯｸM" w:hAnsi="HGSｺﾞｼｯｸM" w:eastAsia="HGSｺﾞｼｯｸM"/>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南丹市の住宅総数、空き家数、空き家率の推移</w:t>
      </w:r>
    </w:p>
    <w:p>
      <w:pPr>
        <w:pStyle w:val="0"/>
        <w:widowControl w:val="1"/>
        <w:jc w:val="left"/>
        <w:rPr>
          <w:rFonts w:hint="default" w:ascii="HGSｺﾞｼｯｸM" w:hAnsi="HGSｺﾞｼｯｸM" w:eastAsia="HGSｺﾞｼｯｸM"/>
          <w:sz w:val="22"/>
        </w:rPr>
      </w:pPr>
      <w:r>
        <w:rPr>
          <w:rFonts w:hint="eastAsia" w:ascii="HGSｺﾞｼｯｸM" w:hAnsi="HGSｺﾞｼｯｸM" w:eastAsia="HGSｺﾞｼｯｸM"/>
          <w:sz w:val="22"/>
        </w:rPr>
        <w:drawing>
          <wp:inline distT="0" distB="0" distL="0" distR="0">
            <wp:extent cx="5118100" cy="2613660"/>
            <wp:effectExtent l="0" t="0" r="0" b="0"/>
            <wp:docPr id="1030" name="オブジェクト 0"/>
            <a:graphic xmlns:a="http://schemas.openxmlformats.org/drawingml/2006/main">
              <a:graphicData uri="http://schemas.openxmlformats.org/drawingml/2006/chart">
                <c:chart xmlns:c="http://schemas.openxmlformats.org/drawingml/2006/chart" r:id="rId10"/>
              </a:graphicData>
            </a:graphic>
          </wp:inline>
        </w:drawing>
      </w:r>
    </w:p>
    <w:p>
      <w:pPr>
        <w:pStyle w:val="0"/>
        <w:widowControl w:val="1"/>
        <w:ind w:right="420" w:rightChars="200"/>
        <w:jc w:val="right"/>
        <w:rPr>
          <w:rFonts w:hint="default" w:ascii="HGSｺﾞｼｯｸM" w:hAnsi="HGSｺﾞｼｯｸM" w:eastAsia="HGSｺﾞｼｯｸM"/>
          <w:sz w:val="22"/>
        </w:rPr>
      </w:pPr>
      <w:r>
        <w:rPr>
          <w:rFonts w:hint="eastAsia" w:ascii="HGSｺﾞｼｯｸM" w:hAnsi="HGSｺﾞｼｯｸM" w:eastAsia="HGSｺﾞｼｯｸM"/>
          <w:sz w:val="18"/>
        </w:rPr>
        <w:t>資料：住宅・土地統計調査（総務省統計局）</w:t>
      </w:r>
    </w:p>
    <w:p>
      <w:pPr>
        <w:pStyle w:val="0"/>
        <w:widowControl w:val="1"/>
        <w:jc w:val="left"/>
        <w:rPr>
          <w:rFonts w:hint="default" w:ascii="HGSｺﾞｼｯｸM" w:hAnsi="HGSｺﾞｼｯｸM" w:eastAsia="HGSｺﾞｼｯｸM"/>
          <w:sz w:val="22"/>
        </w:rPr>
      </w:pPr>
      <w:r>
        <w:rPr>
          <w:rFonts w:hint="eastAsia" w:ascii="HGSｺﾞｼｯｸM" w:hAnsi="HGSｺﾞｼｯｸM" w:eastAsia="HGSｺﾞｼｯｸM"/>
          <w:sz w:val="22"/>
        </w:rPr>
        <w:br w:type="page"/>
      </w:r>
    </w:p>
    <w:p>
      <w:pPr>
        <w:pStyle w:val="2"/>
        <w:rPr>
          <w:rFonts w:hint="default" w:ascii="HGSｺﾞｼｯｸM" w:hAnsi="HGSｺﾞｼｯｸM" w:eastAsia="HGSｺﾞｼｯｸM"/>
          <w:sz w:val="24"/>
        </w:rPr>
      </w:pPr>
      <w:bookmarkStart w:id="64" w:name="_Toc1232"/>
      <w:bookmarkStart w:id="65" w:name="_Toc12724"/>
      <w:bookmarkStart w:id="66" w:name="_Toc18178"/>
      <w:bookmarkStart w:id="67" w:name="_Toc19835"/>
      <w:bookmarkStart w:id="68" w:name="_Toc22394"/>
      <w:bookmarkStart w:id="69" w:name="_Toc23447"/>
      <w:bookmarkStart w:id="70" w:name="_Toc28376"/>
      <w:bookmarkStart w:id="71" w:name="_Toc30990"/>
      <w:bookmarkStart w:id="72" w:name="_Toc3923"/>
      <w:bookmarkStart w:id="73" w:name="_Toc4002"/>
      <w:bookmarkStart w:id="74" w:name="_Toc8054"/>
      <w:r>
        <w:rPr>
          <w:rFonts w:hint="eastAsia" w:ascii="HGSｺﾞｼｯｸM" w:hAnsi="HGSｺﾞｼｯｸM" w:eastAsia="HGSｺﾞｼｯｸM"/>
          <w:sz w:val="24"/>
        </w:rPr>
        <w:t>（３）空家等における課題</w:t>
      </w:r>
      <w:bookmarkEnd w:id="64"/>
      <w:bookmarkEnd w:id="65"/>
      <w:bookmarkEnd w:id="66"/>
      <w:bookmarkEnd w:id="67"/>
      <w:bookmarkEnd w:id="68"/>
      <w:bookmarkEnd w:id="69"/>
      <w:bookmarkEnd w:id="70"/>
      <w:bookmarkEnd w:id="71"/>
      <w:bookmarkEnd w:id="72"/>
      <w:bookmarkEnd w:id="73"/>
      <w:bookmarkEnd w:id="74"/>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sz w:val="22"/>
        </w:rPr>
        <w:t>　</w:t>
      </w:r>
      <w:r>
        <w:rPr>
          <w:rFonts w:hint="eastAsia" w:ascii="HGSｺﾞｼｯｸM" w:hAnsi="HGSｺﾞｼｯｸM" w:eastAsia="HGSｺﾞｼｯｸM"/>
          <w:color w:val="auto"/>
          <w:sz w:val="22"/>
        </w:rPr>
        <w:t>空家等に関する課題は、空家が放置されることで発生するものや所有者等に関するもの、空家等が増えることで地域活力の低下や過疎化が生じるといった社会的問題など、多くのものがあります。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①近隣への悪影響（倒壊の危険・環境悪化など）</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空家等が放置されると、倒壊事故や屋根材等の飛散事故が発生する危険性があります。また、空家等敷地内の草木の繁茂により隣地や道路への草木の越境、敷地内へのごみの不法投棄など、近隣の環境悪化を招く原因となり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②地域全体への悪影響（防災・防犯上の危険・景観悪化など）</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放火や不審者の侵入、不法滞在など空家等が犯罪の温床となるおそれがあります。また、破損や腐食を著しく生じている空家等は良好な景観を害するなど、地域全体へ悪影響を及ぼします。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③所有者等の管理意識の欠如</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空家等を放置することに対する問題意識や危機意識が低い人や、遠方に居住していたり相続して所有したものだったりと、所有者や管理者としての問題意識や危機意識のない人がいます。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④空家等の増加に伴う地域活力の低下と、さらなる悪循環（過疎化）の懸念</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人口が減少し空家等が増加すると、地域コミュニティが希薄化するとともに、景観も悪化していくため、まちとしての魅力も低下していきます。そうすると、更に人口減少が進み過疎化に繋がるおそれがあり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⑤空家等の増加にあわせて市民からの意見・苦情の増加、問題の顕在化</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空家等の状況はそれぞれ異なり、空家等を所有・管理している方の状況もまた異なります。空家等が増えた分、多くの意見や苦情が発生し、防災面、防犯面、環境面、衛生面など多種多様な問題を抱えている状況が顕在化してい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⑥将来の人口減少が予測され、空家等のさらなる増加による問題の増大</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少子高齢化により人口が減少すると、人口に対して住宅数が過剰となり空家等の件数が増加し、問題が増大する要因となります。</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br w:type="page"/>
      </w:r>
    </w:p>
    <w:p>
      <w:pPr>
        <w:pStyle w:val="1"/>
        <w:rPr>
          <w:rFonts w:hint="default" w:ascii="HGSｺﾞｼｯｸM" w:hAnsi="HGSｺﾞｼｯｸM" w:eastAsia="HGSｺﾞｼｯｸM"/>
          <w:color w:val="auto"/>
          <w:sz w:val="28"/>
          <w:u w:val="thick" w:color="auto"/>
        </w:rPr>
      </w:pPr>
      <w:bookmarkStart w:id="75" w:name="_Toc36047466"/>
      <w:bookmarkStart w:id="76" w:name="_Toc13894"/>
      <w:bookmarkStart w:id="77" w:name="_Toc15950"/>
      <w:bookmarkStart w:id="78" w:name="_Toc17216"/>
      <w:bookmarkStart w:id="79" w:name="_Toc18589"/>
      <w:bookmarkStart w:id="80" w:name="_Toc19890"/>
      <w:bookmarkStart w:id="81" w:name="_Toc20055"/>
      <w:bookmarkStart w:id="82" w:name="_Toc25416"/>
      <w:bookmarkStart w:id="83" w:name="_Toc30148"/>
      <w:bookmarkStart w:id="84" w:name="_Toc31791"/>
      <w:bookmarkStart w:id="85" w:name="_Toc7040"/>
      <w:bookmarkStart w:id="86" w:name="_Toc7211"/>
      <w:r>
        <w:rPr>
          <w:rFonts w:hint="eastAsia" w:ascii="HGSｺﾞｼｯｸM" w:hAnsi="HGSｺﾞｼｯｸM" w:eastAsia="HGSｺﾞｼｯｸM"/>
          <w:color w:val="auto"/>
          <w:sz w:val="28"/>
          <w:u w:val="thick" w:color="auto"/>
        </w:rPr>
        <w:t>３．空家等に関する対策の基本的な方針</w:t>
      </w:r>
      <w:bookmarkEnd w:id="75"/>
      <w:r>
        <w:rPr>
          <w:rFonts w:hint="eastAsia" w:ascii="HGSｺﾞｼｯｸM" w:hAnsi="HGSｺﾞｼｯｸM" w:eastAsia="HGSｺﾞｼｯｸM"/>
          <w:color w:val="auto"/>
          <w:sz w:val="28"/>
          <w:u w:val="thick" w:color="auto"/>
        </w:rPr>
        <w:t>　　　　　　　　　　　　</w:t>
      </w:r>
      <w:bookmarkEnd w:id="76"/>
      <w:bookmarkEnd w:id="77"/>
      <w:bookmarkEnd w:id="78"/>
      <w:bookmarkEnd w:id="79"/>
      <w:bookmarkEnd w:id="80"/>
      <w:bookmarkEnd w:id="81"/>
      <w:bookmarkEnd w:id="82"/>
      <w:bookmarkEnd w:id="83"/>
      <w:bookmarkEnd w:id="84"/>
      <w:bookmarkEnd w:id="85"/>
      <w:bookmarkEnd w:id="86"/>
    </w:p>
    <w:p>
      <w:pPr>
        <w:pStyle w:val="0"/>
        <w:rPr>
          <w:rFonts w:hint="default" w:ascii="HGSｺﾞｼｯｸM" w:hAnsi="HGSｺﾞｼｯｸM" w:eastAsia="HGSｺﾞｼｯｸM"/>
          <w:color w:val="auto"/>
          <w:sz w:val="24"/>
        </w:rPr>
      </w:pPr>
    </w:p>
    <w:p>
      <w:pPr>
        <w:pStyle w:val="2"/>
        <w:rPr>
          <w:rFonts w:hint="default" w:ascii="HGSｺﾞｼｯｸM" w:hAnsi="HGSｺﾞｼｯｸM" w:eastAsia="HGSｺﾞｼｯｸM"/>
          <w:color w:val="auto"/>
          <w:sz w:val="24"/>
        </w:rPr>
      </w:pPr>
      <w:bookmarkStart w:id="87" w:name="_Toc12980"/>
      <w:bookmarkStart w:id="88" w:name="_Toc13284"/>
      <w:bookmarkStart w:id="89" w:name="_Toc14148"/>
      <w:bookmarkStart w:id="90" w:name="_Toc14947"/>
      <w:bookmarkStart w:id="91" w:name="_Toc17068"/>
      <w:bookmarkStart w:id="92" w:name="_Toc18166"/>
      <w:bookmarkStart w:id="93" w:name="_Toc24643"/>
      <w:bookmarkStart w:id="94" w:name="_Toc25796"/>
      <w:bookmarkStart w:id="95" w:name="_Toc8766"/>
      <w:r>
        <w:rPr>
          <w:rFonts w:hint="eastAsia" w:ascii="HGSｺﾞｼｯｸM" w:hAnsi="HGSｺﾞｼｯｸM" w:eastAsia="HGSｺﾞｼｯｸM"/>
          <w:color w:val="auto"/>
          <w:sz w:val="24"/>
        </w:rPr>
        <w:t>（１）対象地区</w:t>
      </w:r>
      <w:bookmarkEnd w:id="87"/>
      <w:bookmarkEnd w:id="88"/>
      <w:bookmarkEnd w:id="89"/>
      <w:bookmarkEnd w:id="90"/>
      <w:bookmarkEnd w:id="91"/>
      <w:bookmarkEnd w:id="92"/>
      <w:bookmarkEnd w:id="93"/>
      <w:bookmarkEnd w:id="94"/>
      <w:bookmarkEnd w:id="95"/>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本計画における空家等対策の対象地区は、南丹市全域とします。</w:t>
      </w:r>
    </w:p>
    <w:p>
      <w:pPr>
        <w:pStyle w:val="0"/>
        <w:widowControl w:val="1"/>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4"/>
        </w:rPr>
      </w:pPr>
      <w:bookmarkStart w:id="96" w:name="_Toc10431"/>
      <w:bookmarkStart w:id="97" w:name="_Toc10880"/>
      <w:bookmarkStart w:id="98" w:name="_Toc15355"/>
      <w:bookmarkStart w:id="99" w:name="_Toc16045"/>
      <w:bookmarkStart w:id="100" w:name="_Toc1945"/>
      <w:bookmarkStart w:id="101" w:name="_Toc20133"/>
      <w:bookmarkStart w:id="102" w:name="_Toc20238"/>
      <w:bookmarkStart w:id="103" w:name="_Toc27850"/>
      <w:bookmarkStart w:id="104" w:name="_Toc28933"/>
      <w:bookmarkStart w:id="105" w:name="_Toc32559"/>
      <w:bookmarkStart w:id="106" w:name="_Toc48"/>
      <w:r>
        <w:rPr>
          <w:rFonts w:hint="eastAsia" w:ascii="HGSｺﾞｼｯｸM" w:hAnsi="HGSｺﾞｼｯｸM" w:eastAsia="HGSｺﾞｼｯｸM"/>
          <w:color w:val="auto"/>
          <w:sz w:val="24"/>
        </w:rPr>
        <w:t>（２）対象とする空家等の種類</w:t>
      </w:r>
      <w:bookmarkEnd w:id="96"/>
      <w:bookmarkEnd w:id="97"/>
      <w:bookmarkEnd w:id="98"/>
      <w:bookmarkEnd w:id="99"/>
      <w:bookmarkEnd w:id="100"/>
      <w:bookmarkEnd w:id="101"/>
      <w:bookmarkEnd w:id="102"/>
      <w:bookmarkEnd w:id="103"/>
      <w:bookmarkEnd w:id="104"/>
      <w:bookmarkEnd w:id="105"/>
      <w:bookmarkEnd w:id="106"/>
    </w:p>
    <w:p>
      <w:pPr>
        <w:pStyle w:val="0"/>
        <w:widowControl w:val="1"/>
        <w:ind w:left="22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本計画の対象とする空家等の種類は、法第２条第１項に規定する「空家等」及び同条第２項に規定する「特定空家等」とします。</w:t>
      </w:r>
    </w:p>
    <w:p>
      <w:pPr>
        <w:pStyle w:val="0"/>
        <w:widowControl w:val="1"/>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4"/>
        </w:rPr>
      </w:pPr>
      <w:bookmarkStart w:id="107" w:name="_Toc10548"/>
      <w:bookmarkStart w:id="108" w:name="_Toc17190"/>
      <w:bookmarkStart w:id="109" w:name="_Toc17203"/>
      <w:bookmarkStart w:id="110" w:name="_Toc19893"/>
      <w:bookmarkStart w:id="111" w:name="_Toc20778"/>
      <w:bookmarkStart w:id="112" w:name="_Toc21121"/>
      <w:bookmarkStart w:id="113" w:name="_Toc23908"/>
      <w:bookmarkStart w:id="114" w:name="_Toc28782"/>
      <w:bookmarkStart w:id="115" w:name="_Toc3434"/>
      <w:bookmarkStart w:id="116" w:name="_Toc4187"/>
      <w:bookmarkStart w:id="117" w:name="_Toc9660"/>
      <w:r>
        <w:rPr>
          <w:rFonts w:hint="eastAsia" w:ascii="HGSｺﾞｼｯｸM" w:hAnsi="HGSｺﾞｼｯｸM" w:eastAsia="HGSｺﾞｼｯｸM"/>
          <w:color w:val="auto"/>
          <w:sz w:val="24"/>
        </w:rPr>
        <w:t>（３）対策に関する基本方針</w:t>
      </w:r>
      <w:bookmarkEnd w:id="107"/>
      <w:bookmarkEnd w:id="108"/>
      <w:bookmarkEnd w:id="109"/>
      <w:bookmarkEnd w:id="110"/>
      <w:bookmarkEnd w:id="111"/>
      <w:bookmarkEnd w:id="112"/>
      <w:bookmarkEnd w:id="113"/>
      <w:bookmarkEnd w:id="114"/>
      <w:bookmarkEnd w:id="115"/>
      <w:bookmarkEnd w:id="116"/>
      <w:bookmarkEnd w:id="117"/>
    </w:p>
    <w:p>
      <w:pPr>
        <w:pStyle w:val="0"/>
        <w:widowControl w:val="1"/>
        <w:ind w:left="210" w:leftChars="100"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空家等は、私有財産であるため、所有者等が自らの責任において適切に管理する義務を負うことを基本原則としたうえで、基本的な方針を次に示すとおりとします。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①所有者等による適正管理の推進</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空家所有者等に対して適正管理の責務を周知し、管理意識の向上に努めます。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②特定空家等に対する適正管理の推進</w:t>
      </w:r>
    </w:p>
    <w:p>
      <w:pPr>
        <w:pStyle w:val="0"/>
        <w:widowControl w:val="1"/>
        <w:ind w:left="440" w:hanging="440" w:hanging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特定空家等については、周囲に悪影響を及ぼす恐れが高いことから、法に基づく助言・指導、勧告等の措置を行います。特に倒壊の危険性や緊急性が高い特定空家等については、公益性を慎重に判断し、行政代執行等により住民の安全安心の確保に努め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③利活用の推進</w:t>
      </w:r>
    </w:p>
    <w:p>
      <w:pPr>
        <w:pStyle w:val="0"/>
        <w:widowControl w:val="1"/>
        <w:ind w:left="440" w:hanging="440" w:hanging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利活用が可能な空家等については、空き家バンクへの登録を促進し、移住・定住の推進に努めるとともに、観光施設やサテライトオフィスなどへのリノベーションも推進します。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br w:type="page"/>
      </w:r>
    </w:p>
    <w:p>
      <w:pPr>
        <w:pStyle w:val="1"/>
        <w:rPr>
          <w:rFonts w:hint="default" w:ascii="HGSｺﾞｼｯｸM" w:hAnsi="HGSｺﾞｼｯｸM" w:eastAsia="HGSｺﾞｼｯｸM"/>
          <w:color w:val="auto"/>
          <w:sz w:val="28"/>
          <w:u w:val="thick" w:color="auto"/>
        </w:rPr>
      </w:pPr>
      <w:bookmarkStart w:id="118" w:name="_Toc36047470"/>
      <w:bookmarkStart w:id="119" w:name="_Toc10030"/>
      <w:bookmarkStart w:id="120" w:name="_Toc11505"/>
      <w:bookmarkStart w:id="121" w:name="_Toc15520"/>
      <w:bookmarkStart w:id="122" w:name="_Toc15935"/>
      <w:bookmarkStart w:id="123" w:name="_Toc24273"/>
      <w:bookmarkStart w:id="124" w:name="_Toc27522"/>
      <w:bookmarkStart w:id="125" w:name="_Toc32346"/>
      <w:bookmarkStart w:id="126" w:name="_Toc4803"/>
      <w:bookmarkStart w:id="127" w:name="_Toc5498"/>
      <w:bookmarkStart w:id="128" w:name="_Toc9594"/>
      <w:bookmarkStart w:id="129" w:name="_Toc9875"/>
      <w:r>
        <w:rPr>
          <w:rFonts w:hint="eastAsia" w:ascii="HGSｺﾞｼｯｸM" w:hAnsi="HGSｺﾞｼｯｸM" w:eastAsia="HGSｺﾞｼｯｸM"/>
          <w:color w:val="auto"/>
          <w:sz w:val="28"/>
          <w:u w:val="thick" w:color="auto"/>
        </w:rPr>
        <w:t>４．計画期間</w:t>
      </w:r>
      <w:bookmarkEnd w:id="118"/>
      <w:r>
        <w:rPr>
          <w:rFonts w:hint="eastAsia" w:ascii="HGSｺﾞｼｯｸM" w:hAnsi="HGSｺﾞｼｯｸM" w:eastAsia="HGSｺﾞｼｯｸM"/>
          <w:color w:val="auto"/>
          <w:sz w:val="28"/>
          <w:u w:val="thick" w:color="auto"/>
        </w:rPr>
        <w:t>　　　　　　　　　　　　　　　　　　　　　　　　</w:t>
      </w:r>
      <w:bookmarkEnd w:id="119"/>
      <w:bookmarkEnd w:id="120"/>
      <w:bookmarkEnd w:id="121"/>
      <w:bookmarkEnd w:id="122"/>
      <w:bookmarkEnd w:id="123"/>
      <w:bookmarkEnd w:id="124"/>
      <w:bookmarkEnd w:id="125"/>
      <w:bookmarkEnd w:id="126"/>
      <w:bookmarkEnd w:id="127"/>
      <w:bookmarkEnd w:id="128"/>
      <w:bookmarkEnd w:id="129"/>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本計画の期間は、令和３年度から令和７年度までの５年間とします。</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また、国の施策や社会情勢の変化、計画に示す内容の進捗状況等を勘案し、必要に応じて適宜見直しを行います。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br w:type="page"/>
      </w:r>
    </w:p>
    <w:p>
      <w:pPr>
        <w:pStyle w:val="1"/>
        <w:rPr>
          <w:rFonts w:hint="default" w:ascii="HGSｺﾞｼｯｸM" w:hAnsi="HGSｺﾞｼｯｸM" w:eastAsia="HGSｺﾞｼｯｸM"/>
          <w:color w:val="auto"/>
          <w:sz w:val="28"/>
          <w:u w:val="thick" w:color="auto"/>
        </w:rPr>
      </w:pPr>
      <w:bookmarkStart w:id="130" w:name="_Toc36047471"/>
      <w:bookmarkStart w:id="131" w:name="_Toc12050"/>
      <w:bookmarkStart w:id="132" w:name="_Toc14049"/>
      <w:bookmarkStart w:id="133" w:name="_Toc16191"/>
      <w:bookmarkStart w:id="134" w:name="_Toc1791"/>
      <w:bookmarkStart w:id="135" w:name="_Toc2116"/>
      <w:bookmarkStart w:id="136" w:name="_Toc21660"/>
      <w:bookmarkStart w:id="137" w:name="_Toc24813"/>
      <w:bookmarkStart w:id="138" w:name="_Toc2830"/>
      <w:bookmarkStart w:id="139" w:name="_Toc2891"/>
      <w:bookmarkStart w:id="140" w:name="_Toc799"/>
      <w:r>
        <w:rPr>
          <w:rFonts w:hint="eastAsia" w:ascii="HGSｺﾞｼｯｸM" w:hAnsi="HGSｺﾞｼｯｸM" w:eastAsia="HGSｺﾞｼｯｸM"/>
          <w:color w:val="auto"/>
          <w:sz w:val="28"/>
          <w:u w:val="thick" w:color="auto"/>
        </w:rPr>
        <w:t>５．空家等の調査</w:t>
      </w:r>
      <w:bookmarkEnd w:id="130"/>
      <w:r>
        <w:rPr>
          <w:rFonts w:hint="eastAsia" w:ascii="HGSｺﾞｼｯｸM" w:hAnsi="HGSｺﾞｼｯｸM" w:eastAsia="HGSｺﾞｼｯｸM"/>
          <w:color w:val="auto"/>
          <w:sz w:val="28"/>
          <w:u w:val="thick" w:color="auto"/>
        </w:rPr>
        <w:t>　　　　　　　　　　　　　　　　　　　　　　</w:t>
      </w:r>
      <w:bookmarkEnd w:id="131"/>
      <w:bookmarkEnd w:id="132"/>
      <w:bookmarkEnd w:id="133"/>
      <w:bookmarkEnd w:id="134"/>
      <w:bookmarkEnd w:id="135"/>
      <w:bookmarkEnd w:id="136"/>
      <w:bookmarkEnd w:id="137"/>
      <w:bookmarkEnd w:id="138"/>
      <w:bookmarkEnd w:id="139"/>
      <w:bookmarkEnd w:id="140"/>
    </w:p>
    <w:p>
      <w:pPr>
        <w:pStyle w:val="0"/>
        <w:rPr>
          <w:rFonts w:hint="default" w:ascii="HGSｺﾞｼｯｸM" w:hAnsi="HGSｺﾞｼｯｸM" w:eastAsia="HGSｺﾞｼｯｸM"/>
          <w:color w:val="auto"/>
          <w:sz w:val="24"/>
        </w:rPr>
      </w:pPr>
    </w:p>
    <w:p>
      <w:pPr>
        <w:pStyle w:val="2"/>
        <w:rPr>
          <w:rFonts w:hint="default" w:ascii="HGSｺﾞｼｯｸM" w:hAnsi="HGSｺﾞｼｯｸM" w:eastAsia="HGSｺﾞｼｯｸM"/>
          <w:color w:val="auto"/>
          <w:sz w:val="22"/>
        </w:rPr>
      </w:pPr>
      <w:bookmarkStart w:id="141" w:name="_Toc11929"/>
      <w:bookmarkStart w:id="142" w:name="_Toc13399"/>
      <w:bookmarkStart w:id="143" w:name="_Toc25612"/>
      <w:bookmarkStart w:id="144" w:name="_Toc25698"/>
      <w:bookmarkStart w:id="145" w:name="_Toc3021"/>
      <w:bookmarkStart w:id="146" w:name="_Toc31507"/>
      <w:bookmarkStart w:id="147" w:name="_Toc3843"/>
      <w:bookmarkStart w:id="148" w:name="_Toc4588"/>
      <w:bookmarkStart w:id="149" w:name="_Toc5131"/>
      <w:bookmarkStart w:id="150" w:name="_Toc5336"/>
      <w:r>
        <w:rPr>
          <w:rFonts w:hint="eastAsia" w:ascii="HGSｺﾞｼｯｸM" w:hAnsi="HGSｺﾞｼｯｸM" w:eastAsia="HGSｺﾞｼｯｸM"/>
          <w:color w:val="auto"/>
          <w:sz w:val="24"/>
        </w:rPr>
        <w:t>（１）空家等の実態調査</w:t>
      </w:r>
      <w:bookmarkEnd w:id="141"/>
      <w:bookmarkEnd w:id="142"/>
      <w:bookmarkEnd w:id="143"/>
      <w:bookmarkEnd w:id="144"/>
      <w:bookmarkEnd w:id="145"/>
      <w:bookmarkEnd w:id="146"/>
      <w:bookmarkEnd w:id="147"/>
      <w:bookmarkEnd w:id="148"/>
      <w:bookmarkEnd w:id="149"/>
      <w:bookmarkEnd w:id="150"/>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空家等のデータベースを整備し、空家等の分布状況を把握するとともに、必要に応じて調査を実施します。</w:t>
      </w:r>
    </w:p>
    <w:p>
      <w:pPr>
        <w:pStyle w:val="0"/>
        <w:widowControl w:val="1"/>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2"/>
        </w:rPr>
      </w:pPr>
      <w:bookmarkStart w:id="151" w:name="_Toc14172"/>
      <w:bookmarkStart w:id="152" w:name="_Toc14359"/>
      <w:bookmarkStart w:id="153" w:name="_Toc16298"/>
      <w:bookmarkStart w:id="154" w:name="_Toc16811"/>
      <w:bookmarkStart w:id="155" w:name="_Toc17679"/>
      <w:bookmarkStart w:id="156" w:name="_Toc19654"/>
      <w:bookmarkStart w:id="157" w:name="_Toc21564"/>
      <w:bookmarkStart w:id="158" w:name="_Toc30434"/>
      <w:bookmarkStart w:id="159" w:name="_Toc32483"/>
      <w:bookmarkStart w:id="160" w:name="_Toc36047473"/>
      <w:bookmarkStart w:id="161" w:name="_Toc4990"/>
      <w:bookmarkStart w:id="162" w:name="_Toc9689"/>
      <w:r>
        <w:rPr>
          <w:rFonts w:hint="eastAsia" w:ascii="HGSｺﾞｼｯｸM" w:hAnsi="HGSｺﾞｼｯｸM" w:eastAsia="HGSｺﾞｼｯｸM"/>
          <w:color w:val="auto"/>
          <w:sz w:val="24"/>
        </w:rPr>
        <w:t>（２）空家等の外観等調査</w:t>
      </w:r>
      <w:bookmarkEnd w:id="151"/>
      <w:bookmarkEnd w:id="152"/>
      <w:bookmarkEnd w:id="153"/>
      <w:bookmarkEnd w:id="154"/>
      <w:bookmarkEnd w:id="155"/>
      <w:bookmarkEnd w:id="156"/>
      <w:bookmarkEnd w:id="157"/>
      <w:bookmarkEnd w:id="158"/>
      <w:bookmarkEnd w:id="159"/>
      <w:bookmarkEnd w:id="160"/>
      <w:bookmarkEnd w:id="161"/>
      <w:bookmarkEnd w:id="162"/>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新たに</w:t>
      </w:r>
      <w:r>
        <w:rPr>
          <w:rFonts w:hint="eastAsia" w:ascii="HGSｺﾞｼｯｸM" w:hAnsi="HGSｺﾞｼｯｸM" w:eastAsia="HGSｺﾞｼｯｸM"/>
          <w:strike w:val="0"/>
          <w:dstrike w:val="0"/>
          <w:color w:val="auto"/>
          <w:sz w:val="22"/>
        </w:rPr>
        <w:t>苦情</w:t>
      </w:r>
      <w:r>
        <w:rPr>
          <w:rFonts w:hint="eastAsia" w:ascii="HGSｺﾞｼｯｸM" w:hAnsi="HGSｺﾞｼｯｸM" w:eastAsia="HGSｺﾞｼｯｸM"/>
          <w:color w:val="auto"/>
          <w:sz w:val="22"/>
        </w:rPr>
        <w:t>のあった空家等は、外観目視による現地調査を行います。</w:t>
      </w:r>
    </w:p>
    <w:p>
      <w:pPr>
        <w:pStyle w:val="0"/>
        <w:widowControl w:val="1"/>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2"/>
        </w:rPr>
      </w:pPr>
      <w:bookmarkStart w:id="163" w:name="_Toc10314"/>
      <w:bookmarkStart w:id="164" w:name="_Toc15665"/>
      <w:bookmarkStart w:id="165" w:name="_Toc1815"/>
      <w:bookmarkStart w:id="166" w:name="_Toc22202"/>
      <w:bookmarkStart w:id="167" w:name="_Toc226"/>
      <w:bookmarkStart w:id="168" w:name="_Toc23446"/>
      <w:bookmarkStart w:id="169" w:name="_Toc23579"/>
      <w:bookmarkStart w:id="170" w:name="_Toc3504"/>
      <w:bookmarkStart w:id="171" w:name="_Toc607"/>
      <w:bookmarkStart w:id="172" w:name="_Toc8596"/>
      <w:r>
        <w:rPr>
          <w:rFonts w:hint="eastAsia" w:ascii="HGSｺﾞｼｯｸM" w:hAnsi="HGSｺﾞｼｯｸM" w:eastAsia="HGSｺﾞｼｯｸM"/>
          <w:color w:val="auto"/>
          <w:sz w:val="24"/>
        </w:rPr>
        <w:t>（３）空家等の所有者等の調査</w:t>
      </w:r>
      <w:bookmarkEnd w:id="163"/>
      <w:bookmarkEnd w:id="164"/>
      <w:bookmarkEnd w:id="165"/>
      <w:bookmarkEnd w:id="166"/>
      <w:bookmarkEnd w:id="167"/>
      <w:bookmarkEnd w:id="168"/>
      <w:bookmarkEnd w:id="169"/>
      <w:bookmarkEnd w:id="170"/>
      <w:bookmarkEnd w:id="171"/>
      <w:bookmarkEnd w:id="172"/>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近隣住民への聞き取りや不動産登記簿情報、固定資産税納税義務者情報、住民票情報、戸籍情報、水道閉栓情報等から、所有者等の住所・氏名や相続関係者を調査します。</w:t>
      </w:r>
    </w:p>
    <w:p>
      <w:pPr>
        <w:pStyle w:val="0"/>
        <w:widowControl w:val="1"/>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2"/>
        </w:rPr>
      </w:pPr>
      <w:bookmarkStart w:id="173" w:name="_Toc12126"/>
      <w:bookmarkStart w:id="174" w:name="_Toc15542"/>
      <w:bookmarkStart w:id="175" w:name="_Toc17792"/>
      <w:bookmarkStart w:id="176" w:name="_Toc20694"/>
      <w:bookmarkStart w:id="177" w:name="_Toc21051"/>
      <w:bookmarkStart w:id="178" w:name="_Toc25874"/>
      <w:bookmarkStart w:id="179" w:name="_Toc30524"/>
      <w:bookmarkStart w:id="180" w:name="_Toc660"/>
      <w:bookmarkStart w:id="181" w:name="_Toc6853"/>
      <w:bookmarkStart w:id="182" w:name="_Toc8420"/>
      <w:bookmarkStart w:id="183" w:name="_Toc8566"/>
      <w:r>
        <w:rPr>
          <w:rFonts w:hint="eastAsia" w:ascii="HGSｺﾞｼｯｸM" w:hAnsi="HGSｺﾞｼｯｸM" w:eastAsia="HGSｺﾞｼｯｸM"/>
          <w:color w:val="auto"/>
          <w:sz w:val="24"/>
        </w:rPr>
        <w:t>（４）立入調査</w:t>
      </w:r>
      <w:bookmarkEnd w:id="173"/>
      <w:bookmarkEnd w:id="174"/>
      <w:bookmarkEnd w:id="175"/>
      <w:bookmarkEnd w:id="176"/>
      <w:bookmarkEnd w:id="177"/>
      <w:bookmarkEnd w:id="178"/>
      <w:bookmarkEnd w:id="179"/>
      <w:bookmarkEnd w:id="180"/>
      <w:bookmarkEnd w:id="181"/>
      <w:bookmarkEnd w:id="182"/>
      <w:bookmarkEnd w:id="183"/>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空家等の調査は、外観目視による調査を基本としますが、敷地内若しくは建物内に立ち入って状況を確認する必要がある場合は、法第９条第２項の規定に基づき立ち入り調査を行うものとします。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br w:type="page"/>
      </w:r>
    </w:p>
    <w:p>
      <w:pPr>
        <w:pStyle w:val="1"/>
        <w:rPr>
          <w:rFonts w:hint="default" w:ascii="HGSｺﾞｼｯｸM" w:hAnsi="HGSｺﾞｼｯｸM" w:eastAsia="HGSｺﾞｼｯｸM"/>
          <w:color w:val="auto"/>
          <w:sz w:val="28"/>
          <w:u w:val="thick" w:color="auto"/>
        </w:rPr>
      </w:pPr>
      <w:bookmarkStart w:id="184" w:name="_Toc36047476"/>
      <w:bookmarkStart w:id="185" w:name="_Toc1339"/>
      <w:bookmarkStart w:id="186" w:name="_Toc17894"/>
      <w:bookmarkStart w:id="187" w:name="_Toc21261"/>
      <w:bookmarkStart w:id="188" w:name="_Toc21754"/>
      <w:bookmarkStart w:id="189" w:name="_Toc24497"/>
      <w:bookmarkStart w:id="190" w:name="_Toc27656"/>
      <w:bookmarkStart w:id="191" w:name="_Toc28701"/>
      <w:bookmarkStart w:id="192" w:name="_Toc31627"/>
      <w:bookmarkStart w:id="193" w:name="_Toc7524"/>
      <w:bookmarkStart w:id="194" w:name="_Toc8084"/>
      <w:r>
        <w:rPr>
          <w:rFonts w:hint="eastAsia" w:ascii="HGSｺﾞｼｯｸM" w:hAnsi="HGSｺﾞｼｯｸM" w:eastAsia="HGSｺﾞｼｯｸM"/>
          <w:color w:val="auto"/>
          <w:sz w:val="28"/>
          <w:u w:val="thick" w:color="auto"/>
        </w:rPr>
        <w:t>６．空家等の所有者等の適切な管理の促進</w:t>
      </w:r>
      <w:bookmarkEnd w:id="184"/>
      <w:r>
        <w:rPr>
          <w:rFonts w:hint="eastAsia" w:ascii="HGSｺﾞｼｯｸM" w:hAnsi="HGSｺﾞｼｯｸM" w:eastAsia="HGSｺﾞｼｯｸM"/>
          <w:color w:val="auto"/>
          <w:sz w:val="28"/>
          <w:u w:val="thick" w:color="auto"/>
        </w:rPr>
        <w:t>　　　　　　　　　　　</w:t>
      </w:r>
      <w:bookmarkEnd w:id="185"/>
      <w:bookmarkEnd w:id="186"/>
      <w:bookmarkEnd w:id="187"/>
      <w:bookmarkEnd w:id="188"/>
      <w:bookmarkEnd w:id="189"/>
      <w:bookmarkEnd w:id="190"/>
      <w:bookmarkEnd w:id="191"/>
      <w:bookmarkEnd w:id="192"/>
      <w:bookmarkEnd w:id="193"/>
      <w:bookmarkEnd w:id="194"/>
    </w:p>
    <w:p>
      <w:pPr>
        <w:pStyle w:val="0"/>
        <w:rPr>
          <w:rFonts w:hint="default" w:ascii="HGSｺﾞｼｯｸM" w:hAnsi="HGSｺﾞｼｯｸM" w:eastAsia="HGSｺﾞｼｯｸM"/>
          <w:color w:val="auto"/>
          <w:sz w:val="24"/>
        </w:rPr>
      </w:pPr>
    </w:p>
    <w:p>
      <w:pPr>
        <w:pStyle w:val="2"/>
        <w:rPr>
          <w:rFonts w:hint="default" w:ascii="HGSｺﾞｼｯｸM" w:hAnsi="HGSｺﾞｼｯｸM" w:eastAsia="HGSｺﾞｼｯｸM"/>
          <w:color w:val="auto"/>
          <w:sz w:val="22"/>
        </w:rPr>
      </w:pPr>
      <w:bookmarkStart w:id="195" w:name="_Toc16291"/>
      <w:bookmarkStart w:id="196" w:name="_Toc18923"/>
      <w:bookmarkStart w:id="197" w:name="_Toc27415"/>
      <w:bookmarkStart w:id="198" w:name="_Toc32495"/>
      <w:bookmarkStart w:id="199" w:name="_Toc36047477"/>
      <w:bookmarkStart w:id="200" w:name="_Toc7778"/>
      <w:bookmarkStart w:id="201" w:name="_Toc7901"/>
      <w:bookmarkStart w:id="202" w:name="_Toc9979"/>
      <w:bookmarkStart w:id="203" w:name="_Toc24442"/>
      <w:bookmarkStart w:id="204" w:name="_Toc30859"/>
      <w:bookmarkStart w:id="205" w:name="_Toc7936"/>
      <w:r>
        <w:rPr>
          <w:rFonts w:hint="eastAsia" w:ascii="HGSｺﾞｼｯｸM" w:hAnsi="HGSｺﾞｼｯｸM" w:eastAsia="HGSｺﾞｼｯｸM"/>
          <w:color w:val="auto"/>
          <w:sz w:val="24"/>
        </w:rPr>
        <w:t>（１）所有者等の意識の</w:t>
      </w:r>
      <w:bookmarkEnd w:id="195"/>
      <w:bookmarkEnd w:id="196"/>
      <w:bookmarkEnd w:id="197"/>
      <w:bookmarkEnd w:id="198"/>
      <w:bookmarkEnd w:id="199"/>
      <w:bookmarkEnd w:id="200"/>
      <w:bookmarkEnd w:id="201"/>
      <w:bookmarkEnd w:id="202"/>
      <w:r>
        <w:rPr>
          <w:rFonts w:hint="eastAsia" w:ascii="HGSｺﾞｼｯｸM" w:hAnsi="HGSｺﾞｼｯｸM" w:eastAsia="HGSｺﾞｼｯｸM"/>
          <w:color w:val="auto"/>
          <w:sz w:val="24"/>
        </w:rPr>
        <w:t>向上</w:t>
      </w:r>
      <w:bookmarkEnd w:id="203"/>
      <w:bookmarkEnd w:id="204"/>
      <w:bookmarkEnd w:id="205"/>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空家等は、基本方針に示すとおり私有財産であるため、所有者等が自らの責任において適切に管理する義務を負うことが基本原則となります。</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所有者等の意識を高めるため、空家等の適切な管理は所有者又は占有者の義務であることのほか、適正管理や空家等対策に関する情報を発信し、啓発に努めます。</w:t>
      </w:r>
    </w:p>
    <w:p>
      <w:pPr>
        <w:pStyle w:val="0"/>
        <w:widowControl w:val="1"/>
        <w:ind w:firstLine="220" w:firstLineChars="100"/>
        <w:jc w:val="left"/>
        <w:rPr>
          <w:rFonts w:hint="default" w:ascii="HGSｺﾞｼｯｸM" w:hAnsi="HGSｺﾞｼｯｸM" w:eastAsia="HGSｺﾞｼｯｸM"/>
          <w:color w:val="auto"/>
          <w:sz w:val="22"/>
        </w:rPr>
      </w:pPr>
    </w:p>
    <w:tbl>
      <w:tblPr>
        <w:tblStyle w:val="35"/>
        <w:tblW w:w="8702" w:type="dxa"/>
        <w:tblInd w:w="0" w:type="dxa"/>
        <w:tblLayout w:type="fixed"/>
        <w:tblLook w:firstRow="1" w:lastRow="0" w:firstColumn="1" w:lastColumn="0" w:noHBand="0" w:noVBand="1" w:val="04A0"/>
      </w:tblPr>
      <w:tblGrid>
        <w:gridCol w:w="8702"/>
      </w:tblGrid>
      <w:tr>
        <w:trPr/>
        <w:tc>
          <w:tcPr>
            <w:tcW w:w="8702" w:type="dxa"/>
            <w:vAlign w:val="top"/>
          </w:tcPr>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参考</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民法第</w:t>
            </w:r>
            <w:r>
              <w:rPr>
                <w:rFonts w:hint="eastAsia" w:ascii="HGSｺﾞｼｯｸM" w:hAnsi="HGSｺﾞｼｯｸM" w:eastAsia="HGSｺﾞｼｯｸM"/>
                <w:color w:val="auto"/>
                <w:sz w:val="22"/>
              </w:rPr>
              <w:t>717</w:t>
            </w:r>
            <w:r>
              <w:rPr>
                <w:rFonts w:hint="eastAsia" w:ascii="HGSｺﾞｼｯｸM" w:hAnsi="HGSｺﾞｼｯｸM" w:eastAsia="HGSｺﾞｼｯｸM"/>
                <w:color w:val="auto"/>
                <w:sz w:val="22"/>
              </w:rPr>
              <w:t>条（土地の工作物等の占有者及び所有者の責任）</w:t>
            </w:r>
            <w:r>
              <w:rPr>
                <w:rFonts w:hint="eastAsia" w:ascii="HGSｺﾞｼｯｸM" w:hAnsi="HGSｺﾞｼｯｸM" w:eastAsia="HGSｺﾞｼｯｸM"/>
                <w:color w:val="auto"/>
                <w:sz w:val="22"/>
              </w:rPr>
              <w:t xml:space="preserve"> </w:t>
            </w:r>
          </w:p>
          <w:p>
            <w:pPr>
              <w:pStyle w:val="0"/>
              <w:widowControl w:val="1"/>
              <w:ind w:left="22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1</w:t>
            </w:r>
            <w:r>
              <w:rPr>
                <w:rFonts w:hint="eastAsia" w:ascii="HGSｺﾞｼｯｸM" w:hAnsi="HGSｺﾞｼｯｸM" w:eastAsia="HGSｺﾞｼｯｸM"/>
                <w:color w:val="auto"/>
                <w:sz w:val="22"/>
              </w:rPr>
              <w:t>　土地の工作物の設置又は保存に瑕疵があることによって他人に損害を生じたときは、その工作物の占有者は、被害者に対してその損害を賠償する責任を負う。ただし、占有者が損害の発生を防止するのに必要な注意をしたときは、所有者がその損害を賠償しなければならない。</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2</w:t>
            </w:r>
            <w:r>
              <w:rPr>
                <w:rFonts w:hint="eastAsia" w:ascii="HGSｺﾞｼｯｸM" w:hAnsi="HGSｺﾞｼｯｸM" w:eastAsia="HGSｺﾞｼｯｸM"/>
                <w:color w:val="auto"/>
                <w:sz w:val="22"/>
              </w:rPr>
              <w:t>　前項の規定は、竹木の栽植又は支持に瑕疵がある場合について準用する。</w:t>
            </w:r>
          </w:p>
          <w:p>
            <w:pPr>
              <w:pStyle w:val="0"/>
              <w:widowControl w:val="1"/>
              <w:ind w:left="22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3</w:t>
            </w:r>
            <w:r>
              <w:rPr>
                <w:rFonts w:hint="eastAsia" w:ascii="HGSｺﾞｼｯｸM" w:hAnsi="HGSｺﾞｼｯｸM" w:eastAsia="HGSｺﾞｼｯｸM"/>
                <w:color w:val="auto"/>
                <w:sz w:val="22"/>
              </w:rPr>
              <w:t>　前二項の場合において、損害の原因について他にその責任を負う者があるときは、占有者又は所有者は、その者に対して求償権を行使することができる。</w:t>
            </w:r>
          </w:p>
        </w:tc>
      </w:tr>
    </w:tbl>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br w:type="page"/>
      </w:r>
    </w:p>
    <w:p>
      <w:pPr>
        <w:pStyle w:val="1"/>
        <w:rPr>
          <w:rFonts w:hint="default" w:ascii="HGSｺﾞｼｯｸM" w:hAnsi="HGSｺﾞｼｯｸM" w:eastAsia="HGSｺﾞｼｯｸM"/>
          <w:color w:val="auto"/>
          <w:sz w:val="28"/>
          <w:u w:val="thick" w:color="auto"/>
        </w:rPr>
      </w:pPr>
      <w:bookmarkStart w:id="206" w:name="_Toc36047478"/>
      <w:bookmarkStart w:id="207" w:name="_Toc10390"/>
      <w:bookmarkStart w:id="208" w:name="_Toc13911"/>
      <w:bookmarkStart w:id="209" w:name="_Toc15363"/>
      <w:bookmarkStart w:id="210" w:name="_Toc15843"/>
      <w:bookmarkStart w:id="211" w:name="_Toc16660"/>
      <w:bookmarkStart w:id="212" w:name="_Toc18065"/>
      <w:bookmarkStart w:id="213" w:name="_Toc23889"/>
      <w:bookmarkStart w:id="214" w:name="_Toc26306"/>
      <w:bookmarkStart w:id="215" w:name="_Toc28835"/>
      <w:bookmarkStart w:id="216" w:name="_Toc29250"/>
      <w:bookmarkStart w:id="217" w:name="_Toc31551"/>
      <w:r>
        <w:rPr>
          <w:rFonts w:hint="eastAsia" w:ascii="HGSｺﾞｼｯｸM" w:hAnsi="HGSｺﾞｼｯｸM" w:eastAsia="HGSｺﾞｼｯｸM"/>
          <w:color w:val="auto"/>
          <w:sz w:val="28"/>
          <w:u w:val="thick" w:color="auto"/>
        </w:rPr>
        <w:t>７．空家等及び除却した空家等に係る跡地活用の促進</w:t>
      </w:r>
      <w:bookmarkEnd w:id="206"/>
      <w:r>
        <w:rPr>
          <w:rFonts w:hint="eastAsia" w:ascii="HGSｺﾞｼｯｸM" w:hAnsi="HGSｺﾞｼｯｸM" w:eastAsia="HGSｺﾞｼｯｸM"/>
          <w:color w:val="auto"/>
          <w:sz w:val="28"/>
          <w:u w:val="thick" w:color="auto"/>
        </w:rPr>
        <w:t>　　　　　　　　　　　　　　　　　　　</w:t>
      </w:r>
      <w:bookmarkEnd w:id="207"/>
      <w:bookmarkEnd w:id="208"/>
      <w:bookmarkEnd w:id="209"/>
      <w:bookmarkEnd w:id="210"/>
      <w:bookmarkEnd w:id="211"/>
      <w:bookmarkEnd w:id="212"/>
      <w:bookmarkEnd w:id="213"/>
      <w:bookmarkEnd w:id="214"/>
      <w:bookmarkEnd w:id="215"/>
      <w:bookmarkEnd w:id="216"/>
      <w:bookmarkEnd w:id="217"/>
    </w:p>
    <w:p>
      <w:pPr>
        <w:pStyle w:val="0"/>
        <w:widowControl w:val="1"/>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2"/>
        </w:rPr>
      </w:pPr>
      <w:bookmarkStart w:id="218" w:name="_Toc10069"/>
      <w:bookmarkStart w:id="219" w:name="_Toc10114"/>
      <w:bookmarkStart w:id="220" w:name="_Toc16427"/>
      <w:bookmarkStart w:id="221" w:name="_Toc20936"/>
      <w:bookmarkStart w:id="222" w:name="_Toc23180"/>
      <w:bookmarkStart w:id="223" w:name="_Toc24546"/>
      <w:bookmarkStart w:id="224" w:name="_Toc27556"/>
      <w:bookmarkStart w:id="225" w:name="_Toc28646"/>
      <w:bookmarkStart w:id="226" w:name="_Toc4078"/>
      <w:r>
        <w:rPr>
          <w:rFonts w:hint="eastAsia" w:ascii="HGSｺﾞｼｯｸM" w:hAnsi="HGSｺﾞｼｯｸM" w:eastAsia="HGSｺﾞｼｯｸM"/>
          <w:color w:val="auto"/>
          <w:sz w:val="24"/>
        </w:rPr>
        <w:t>（１）空家等の活用の促進</w:t>
      </w:r>
      <w:bookmarkEnd w:id="218"/>
      <w:bookmarkEnd w:id="219"/>
      <w:bookmarkEnd w:id="220"/>
      <w:bookmarkEnd w:id="221"/>
      <w:bookmarkEnd w:id="222"/>
      <w:bookmarkEnd w:id="223"/>
      <w:bookmarkEnd w:id="224"/>
      <w:bookmarkEnd w:id="225"/>
      <w:bookmarkEnd w:id="226"/>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空家等の活用の促進は、移住・定住人口の増加を図るためだけでなく、法第２条第２項に規定される特定空家等を生じさせないためにも有効です。</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そのため、活用可能な空家等について、所有者等や移住希望者等に対して利活用を促すため、空き家バンク等の移住・定住促進や観光・企業誘致などに関する取り組みにより空家等の活用を促進します。</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資料（</w:t>
      </w:r>
      <w:r>
        <w:rPr>
          <w:rFonts w:hint="eastAsia" w:ascii="HGSｺﾞｼｯｸM" w:hAnsi="HGSｺﾞｼｯｸM" w:eastAsia="HGSｺﾞｼｯｸM"/>
          <w:color w:val="auto"/>
          <w:sz w:val="22"/>
        </w:rPr>
        <w:t>20</w:t>
      </w:r>
      <w:r>
        <w:rPr>
          <w:rFonts w:hint="eastAsia" w:ascii="HGSｺﾞｼｯｸM" w:hAnsi="HGSｺﾞｼｯｸM" w:eastAsia="HGSｺﾞｼｯｸM"/>
          <w:color w:val="auto"/>
          <w:sz w:val="22"/>
        </w:rPr>
        <w:t>ページ～）に、空家等の活用を促進する取り組み（南丹市定住ガイドブック「なんくら」から抜粋）を示します。</w:t>
      </w:r>
    </w:p>
    <w:p>
      <w:pPr>
        <w:pStyle w:val="0"/>
        <w:widowControl w:val="1"/>
        <w:jc w:val="left"/>
        <w:rPr>
          <w:rFonts w:hint="default" w:ascii="HGSｺﾞｼｯｸM" w:hAnsi="HGSｺﾞｼｯｸM" w:eastAsia="HGSｺﾞｼｯｸM"/>
          <w:color w:val="auto"/>
          <w:sz w:val="22"/>
        </w:rPr>
      </w:pPr>
    </w:p>
    <w:p>
      <w:pPr>
        <w:pStyle w:val="2"/>
        <w:widowControl w:val="1"/>
        <w:jc w:val="left"/>
        <w:rPr>
          <w:rFonts w:hint="default" w:ascii="HGSｺﾞｼｯｸM" w:hAnsi="HGSｺﾞｼｯｸM" w:eastAsia="HGSｺﾞｼｯｸM"/>
          <w:color w:val="auto"/>
          <w:sz w:val="22"/>
        </w:rPr>
      </w:pPr>
      <w:bookmarkStart w:id="227" w:name="_Toc10154"/>
      <w:bookmarkStart w:id="228" w:name="_Toc13523"/>
      <w:bookmarkStart w:id="229" w:name="_Toc20408"/>
      <w:bookmarkStart w:id="230" w:name="_Toc28980"/>
      <w:bookmarkStart w:id="231" w:name="_Toc32143"/>
      <w:r>
        <w:rPr>
          <w:rFonts w:hint="eastAsia" w:ascii="HGSｺﾞｼｯｸM" w:hAnsi="HGSｺﾞｼｯｸM" w:eastAsia="HGSｺﾞｼｯｸM"/>
          <w:color w:val="auto"/>
          <w:sz w:val="24"/>
        </w:rPr>
        <w:t>（２）除却した空家等に係る跡地活用の促進</w:t>
      </w:r>
      <w:bookmarkEnd w:id="227"/>
      <w:bookmarkEnd w:id="228"/>
      <w:bookmarkEnd w:id="229"/>
      <w:bookmarkEnd w:id="230"/>
      <w:bookmarkEnd w:id="231"/>
    </w:p>
    <w:p>
      <w:pPr>
        <w:pStyle w:val="0"/>
        <w:widowControl w:val="1"/>
        <w:ind w:left="0" w:leftChars="0"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除却した空家等に係る跡地は、所有者等の財産であることはもちろん、地域においても活性化につながる有効な資産です。</w:t>
      </w:r>
    </w:p>
    <w:p>
      <w:pPr>
        <w:pStyle w:val="0"/>
        <w:widowControl w:val="1"/>
        <w:ind w:left="0" w:leftChars="0"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所有者等に対し、有効活用や市場流通を促すことにより、地域社会の活性化及び機能向上につながるよう努めます。</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br w:type="page"/>
      </w:r>
    </w:p>
    <w:p>
      <w:pPr>
        <w:pStyle w:val="1"/>
        <w:rPr>
          <w:rFonts w:hint="default" w:ascii="HGSｺﾞｼｯｸM" w:hAnsi="HGSｺﾞｼｯｸM" w:eastAsia="HGSｺﾞｼｯｸM"/>
          <w:color w:val="auto"/>
          <w:sz w:val="28"/>
          <w:u w:val="thick" w:color="auto"/>
        </w:rPr>
      </w:pPr>
      <w:bookmarkStart w:id="232" w:name="_Toc3658"/>
      <w:bookmarkStart w:id="233" w:name="_Toc10063"/>
      <w:bookmarkStart w:id="234" w:name="_Toc13660"/>
      <w:bookmarkStart w:id="235" w:name="_Toc16315"/>
      <w:bookmarkStart w:id="236" w:name="_Toc19254"/>
      <w:bookmarkStart w:id="237" w:name="_Toc19321"/>
      <w:bookmarkStart w:id="238" w:name="_Toc19824"/>
      <w:bookmarkStart w:id="239" w:name="_Toc1995"/>
      <w:bookmarkStart w:id="240" w:name="_Toc2225"/>
      <w:bookmarkStart w:id="241" w:name="_Toc22658"/>
      <w:bookmarkStart w:id="242" w:name="_Toc27144"/>
      <w:bookmarkStart w:id="243" w:name="_Toc285"/>
      <w:bookmarkStart w:id="244" w:name="_Toc32197"/>
      <w:r>
        <w:rPr>
          <w:rFonts w:hint="eastAsia" w:ascii="HGSｺﾞｼｯｸM" w:hAnsi="HGSｺﾞｼｯｸM" w:eastAsia="HGSｺﾞｼｯｸM"/>
          <w:color w:val="auto"/>
          <w:sz w:val="28"/>
          <w:u w:val="thick" w:color="auto"/>
        </w:rPr>
        <w:t>８．特定空家等に対する措置</w:t>
      </w:r>
      <w:bookmarkEnd w:id="232"/>
      <w:r>
        <w:rPr>
          <w:rFonts w:hint="eastAsia" w:ascii="HGSｺﾞｼｯｸM" w:hAnsi="HGSｺﾞｼｯｸM" w:eastAsia="HGSｺﾞｼｯｸM"/>
          <w:color w:val="auto"/>
          <w:sz w:val="28"/>
          <w:u w:val="thick" w:color="auto"/>
        </w:rPr>
        <w:t>　　　　　　　　　　　　　　　　　</w:t>
      </w:r>
      <w:bookmarkEnd w:id="233"/>
      <w:bookmarkEnd w:id="234"/>
      <w:bookmarkEnd w:id="235"/>
      <w:bookmarkEnd w:id="236"/>
      <w:bookmarkEnd w:id="237"/>
      <w:bookmarkEnd w:id="238"/>
      <w:bookmarkEnd w:id="239"/>
      <w:bookmarkEnd w:id="240"/>
      <w:bookmarkEnd w:id="241"/>
      <w:bookmarkEnd w:id="242"/>
      <w:bookmarkEnd w:id="243"/>
      <w:bookmarkEnd w:id="244"/>
    </w:p>
    <w:p>
      <w:pPr>
        <w:pStyle w:val="0"/>
        <w:rPr>
          <w:rFonts w:hint="default" w:ascii="HGSｺﾞｼｯｸM" w:hAnsi="HGSｺﾞｼｯｸM" w:eastAsia="HGSｺﾞｼｯｸM"/>
          <w:color w:val="auto"/>
          <w:sz w:val="24"/>
        </w:rPr>
      </w:pPr>
    </w:p>
    <w:p>
      <w:pPr>
        <w:pStyle w:val="2"/>
        <w:rPr>
          <w:rFonts w:hint="default" w:ascii="HGSｺﾞｼｯｸM" w:hAnsi="HGSｺﾞｼｯｸM" w:eastAsia="HGSｺﾞｼｯｸM"/>
          <w:color w:val="auto"/>
          <w:sz w:val="24"/>
        </w:rPr>
      </w:pPr>
      <w:bookmarkStart w:id="245" w:name="_Toc16663"/>
      <w:bookmarkStart w:id="246" w:name="_Toc16670"/>
      <w:bookmarkStart w:id="247" w:name="_Toc1780"/>
      <w:bookmarkStart w:id="248" w:name="_Toc20663"/>
      <w:bookmarkStart w:id="249" w:name="_Toc22238"/>
      <w:bookmarkStart w:id="250" w:name="_Toc23745"/>
      <w:bookmarkStart w:id="251" w:name="_Toc26191"/>
      <w:bookmarkStart w:id="252" w:name="_Toc26730"/>
      <w:bookmarkStart w:id="253" w:name="_Toc2969"/>
      <w:bookmarkStart w:id="254" w:name="_Toc3017"/>
      <w:bookmarkStart w:id="255" w:name="_Toc32336"/>
      <w:bookmarkStart w:id="256" w:name="_Toc32519"/>
      <w:bookmarkStart w:id="257" w:name="_Toc369"/>
      <w:r>
        <w:rPr>
          <w:rFonts w:hint="eastAsia" w:ascii="HGSｺﾞｼｯｸM" w:hAnsi="HGSｺﾞｼｯｸM" w:eastAsia="HGSｺﾞｼｯｸM"/>
          <w:color w:val="auto"/>
          <w:sz w:val="24"/>
        </w:rPr>
        <w:t>（１）特定空家等の定義</w:t>
      </w:r>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特定空家等とは、法第２条第２項により、次の状態にあると認められる場合と定義されています。</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・そのまま放置すれば倒壊等著しく保安上危険となるおそれのある状態</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・そのまま放置すれば著しく衛生上有害となるおそれのある状態</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・適切な管理が行われていないことにより著しく景観を損なっている状態</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・その他周辺の生活環境の保全を図るために放置することが不適切である状態</w:t>
      </w:r>
    </w:p>
    <w:p>
      <w:pPr>
        <w:pStyle w:val="0"/>
        <w:widowControl w:val="1"/>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2"/>
        </w:rPr>
      </w:pPr>
      <w:bookmarkStart w:id="258" w:name="_Toc12180"/>
      <w:bookmarkStart w:id="259" w:name="_Toc19916"/>
      <w:bookmarkStart w:id="260" w:name="_Toc19960"/>
      <w:bookmarkStart w:id="261" w:name="_Toc22520"/>
      <w:bookmarkStart w:id="262" w:name="_Toc22851"/>
      <w:bookmarkStart w:id="263" w:name="_Toc24119"/>
      <w:bookmarkStart w:id="264" w:name="_Toc24207"/>
      <w:bookmarkStart w:id="265" w:name="_Toc24994"/>
      <w:bookmarkStart w:id="266" w:name="_Toc27070"/>
      <w:bookmarkStart w:id="267" w:name="_Toc29846"/>
      <w:bookmarkStart w:id="268" w:name="_Toc30371"/>
      <w:bookmarkStart w:id="269" w:name="_Toc7102"/>
      <w:r>
        <w:rPr>
          <w:rFonts w:hint="eastAsia" w:ascii="HGSｺﾞｼｯｸM" w:hAnsi="HGSｺﾞｼｯｸM" w:eastAsia="HGSｺﾞｼｯｸM"/>
          <w:color w:val="auto"/>
          <w:sz w:val="24"/>
        </w:rPr>
        <w:t>（２）特定空家等の未然防止</w:t>
      </w:r>
      <w:bookmarkEnd w:id="258"/>
      <w:bookmarkEnd w:id="259"/>
      <w:bookmarkEnd w:id="260"/>
      <w:bookmarkEnd w:id="261"/>
      <w:bookmarkEnd w:id="262"/>
      <w:bookmarkEnd w:id="263"/>
      <w:bookmarkEnd w:id="264"/>
      <w:bookmarkEnd w:id="265"/>
      <w:bookmarkEnd w:id="266"/>
      <w:bookmarkEnd w:id="267"/>
      <w:bookmarkEnd w:id="268"/>
      <w:bookmarkEnd w:id="269"/>
    </w:p>
    <w:p>
      <w:pPr>
        <w:pStyle w:val="0"/>
        <w:widowControl w:val="1"/>
        <w:ind w:firstLine="220" w:firstLineChars="100"/>
        <w:jc w:val="left"/>
        <w:rPr>
          <w:rFonts w:hint="eastAsia" w:ascii="HGSｺﾞｼｯｸM" w:hAnsi="HGSｺﾞｼｯｸM" w:eastAsia="HGSｺﾞｼｯｸM"/>
          <w:color w:val="auto"/>
          <w:sz w:val="22"/>
        </w:rPr>
      </w:pPr>
      <w:r>
        <w:rPr>
          <w:rFonts w:hint="eastAsia" w:ascii="HGSｺﾞｼｯｸM" w:hAnsi="HGSｺﾞｼｯｸM" w:eastAsia="HGSｺﾞｼｯｸM"/>
          <w:color w:val="auto"/>
          <w:sz w:val="22"/>
        </w:rPr>
        <w:t>特定空家等の発生を未然に防止するため、苦情や相談、要望、実態調査等により把握した空家等が、適切に管理されていないことにより周辺環境に悪影響を及ぼしていると認める場合は、当該空家等の所有者等に対し、必要に応じて適切な管理を行うよう助言・指導（行政指導）を行います。</w:t>
      </w:r>
    </w:p>
    <w:p>
      <w:pPr>
        <w:pStyle w:val="0"/>
        <w:widowControl w:val="1"/>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2"/>
        </w:rPr>
      </w:pPr>
      <w:bookmarkStart w:id="270" w:name="_Toc1151"/>
      <w:bookmarkStart w:id="271" w:name="_Toc11548"/>
      <w:bookmarkStart w:id="272" w:name="_Toc15684"/>
      <w:bookmarkStart w:id="273" w:name="_Toc16976"/>
      <w:bookmarkStart w:id="274" w:name="_Toc21524"/>
      <w:bookmarkStart w:id="275" w:name="_Toc21609"/>
      <w:bookmarkStart w:id="276" w:name="_Toc22034"/>
      <w:bookmarkStart w:id="277" w:name="_Toc24586"/>
      <w:bookmarkStart w:id="278" w:name="_Toc32291"/>
      <w:bookmarkStart w:id="279" w:name="_Toc36047463"/>
      <w:bookmarkStart w:id="280" w:name="_Toc3942"/>
      <w:bookmarkStart w:id="281" w:name="_Toc4076"/>
      <w:bookmarkStart w:id="282" w:name="_Toc6012"/>
      <w:r>
        <w:rPr>
          <w:rFonts w:hint="eastAsia" w:ascii="HGSｺﾞｼｯｸM" w:hAnsi="HGSｺﾞｼｯｸM" w:eastAsia="HGSｺﾞｼｯｸM"/>
          <w:color w:val="auto"/>
          <w:sz w:val="24"/>
        </w:rPr>
        <w:t>（３）特定空家等の</w:t>
      </w:r>
      <w:bookmarkEnd w:id="270"/>
      <w:bookmarkEnd w:id="271"/>
      <w:bookmarkEnd w:id="272"/>
      <w:bookmarkEnd w:id="273"/>
      <w:bookmarkEnd w:id="274"/>
      <w:bookmarkEnd w:id="275"/>
      <w:bookmarkEnd w:id="276"/>
      <w:bookmarkEnd w:id="277"/>
      <w:bookmarkEnd w:id="278"/>
      <w:bookmarkEnd w:id="279"/>
      <w:bookmarkEnd w:id="280"/>
      <w:bookmarkEnd w:id="281"/>
      <w:bookmarkEnd w:id="282"/>
      <w:r>
        <w:rPr>
          <w:rFonts w:hint="eastAsia" w:ascii="HGSｺﾞｼｯｸM" w:hAnsi="HGSｺﾞｼｯｸM" w:eastAsia="HGSｺﾞｼｯｸM"/>
          <w:color w:val="auto"/>
          <w:sz w:val="24"/>
        </w:rPr>
        <w:t>認定</w:t>
      </w:r>
    </w:p>
    <w:p>
      <w:pPr>
        <w:pStyle w:val="0"/>
        <w:widowControl w:val="1"/>
        <w:ind w:left="1"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特定空家等の認定については、「特定空家等に対する措置に関する適切な実施を図るために必要な指針（ガイドライン）」第２章（１）「特定空家等」の判断の参考となる基準（〔別紙１〕から〔別紙４〕）をもとに、行政の関与の要否を勘案して検討し、市が認定します。</w:t>
      </w:r>
    </w:p>
    <w:p>
      <w:pPr>
        <w:pStyle w:val="0"/>
        <w:widowControl w:val="1"/>
        <w:ind w:left="440" w:hanging="440" w:hangingChars="200"/>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2"/>
        </w:rPr>
      </w:pPr>
      <w:bookmarkStart w:id="283" w:name="_Toc10361"/>
      <w:bookmarkStart w:id="284" w:name="_Toc12095"/>
      <w:bookmarkStart w:id="285" w:name="_Toc15647"/>
      <w:bookmarkStart w:id="286" w:name="_Toc16528"/>
      <w:bookmarkStart w:id="287" w:name="_Toc17260"/>
      <w:bookmarkStart w:id="288" w:name="_Toc18666"/>
      <w:bookmarkStart w:id="289" w:name="_Toc20065"/>
      <w:bookmarkStart w:id="290" w:name="_Toc24405"/>
      <w:bookmarkStart w:id="291" w:name="_Toc32234"/>
      <w:bookmarkStart w:id="292" w:name="_Toc36047474"/>
      <w:bookmarkStart w:id="293" w:name="_Toc4376"/>
      <w:bookmarkStart w:id="294" w:name="_Toc451"/>
      <w:bookmarkStart w:id="295" w:name="_Toc8267"/>
      <w:bookmarkStart w:id="296" w:name="_Toc9008"/>
      <w:r>
        <w:rPr>
          <w:rFonts w:hint="eastAsia" w:ascii="HGSｺﾞｼｯｸM" w:hAnsi="HGSｺﾞｼｯｸM" w:eastAsia="HGSｺﾞｼｯｸM"/>
          <w:color w:val="auto"/>
          <w:sz w:val="24"/>
        </w:rPr>
        <w:t>（４）措置の基本的な方針</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①行政の関与の要否の判断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実態調査や地域住民からの相談・苦情等により、適切な管理が行われていない具体の事案を把握した場合は、当該空家等の状態やその周辺の生活環境への悪影響の程度等を勘案し、私有財産たる当該空家等に対する措置について、行政が関与すべき事案かどうか、その規制手段に必要性及び合理性があるかどうかを判断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②他の法令等に基づく諸制度との関係</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家等に係る具体の事案に対し、行政が関与すべき事案であると判断された場合、法に限らず、他法令により各法令の目的に沿って必要な措置が講じられることが考えられます。また、状況によっては措置の対象物ごとに異なる諸制度を組み合わせて適用することも考えらます。各法令により、目的、講ずることができる措置の対象及び内容、実施主体等が異なることから、その物的状態や悪影響の程度、危険等の切迫性等を総合的に判断し、手段を選択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③周辺の建築物や通行人等に対し悪影響をもたらすおそれがあるか否か</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特定空家等」が現にもたらしている、又はそのまま放置した場合に予見される悪影響の範囲内に、周辺の建築物や通行人等が存在し、又は通行し得て被害を受ける状況の有無等により判断します。その際の判断基準は一律とせず、当該空家等の立地環境等に応じて、悪影響が及ぶ範囲を適宜判断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④悪影響の程度と危険等の切迫性</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「特定空家等」が現にもたらしている、又はそのまま放</w:t>
      </w:r>
      <w:bookmarkStart w:id="297" w:name="_Toc12345"/>
      <w:bookmarkStart w:id="298" w:name="_Toc36047488"/>
      <w:bookmarkStart w:id="299" w:name="_Toc8617"/>
      <w:r>
        <w:rPr>
          <w:rFonts w:hint="eastAsia" w:ascii="HGSｺﾞｼｯｸM" w:hAnsi="HGSｺﾞｼｯｸM" w:eastAsia="HGSｺﾞｼｯｸM"/>
          <w:color w:val="auto"/>
          <w:sz w:val="22"/>
        </w:rPr>
        <w:t>置した場合に予見される悪影響の範囲</w:t>
      </w:r>
      <w:bookmarkEnd w:id="297"/>
      <w:bookmarkEnd w:id="298"/>
      <w:bookmarkEnd w:id="299"/>
      <w:r>
        <w:rPr>
          <w:rFonts w:hint="eastAsia" w:ascii="HGSｺﾞｼｯｸM" w:hAnsi="HGSｺﾞｼｯｸM" w:eastAsia="HGSｺﾞｼｯｸM"/>
          <w:color w:val="auto"/>
          <w:sz w:val="22"/>
        </w:rPr>
        <w:t>が周辺の建築物や通行人等にも及ぶと判断された場合に、その悪影響の程度が社会通念上許容される範囲を超えるか否か、またもたらされる危険等について切迫性が高いか否か等により判断します。その際の判断基準は一律とせず、気候条件等に応じて悪影響の程度や危険等の切迫性を適宜判断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br w:type="page"/>
      </w:r>
    </w:p>
    <w:p>
      <w:pPr>
        <w:pStyle w:val="0"/>
        <w:widowControl w:val="1"/>
        <w:jc w:val="left"/>
        <w:rPr>
          <w:rFonts w:hint="default" w:ascii="HGSｺﾞｼｯｸM" w:hAnsi="HGSｺﾞｼｯｸM" w:eastAsia="HGSｺﾞｼｯｸM"/>
          <w:color w:val="auto"/>
          <w:sz w:val="24"/>
        </w:rPr>
      </w:pPr>
      <w:r>
        <w:rPr>
          <w:rFonts w:hint="eastAsia" w:ascii="HGSｺﾞｼｯｸM" w:hAnsi="HGSｺﾞｼｯｸM" w:eastAsia="HGSｺﾞｼｯｸM"/>
          <w:color w:val="auto"/>
          <w:sz w:val="24"/>
        </w:rPr>
        <w:t>「特定空家等に対する措置に関する適切な実施を図るために必要な指針（ガイドライン）」第２章（１）「特定空家等」の判断の参考となる基準（〔別紙１〕から〔別紙４〕）の概要</w:t>
      </w:r>
    </w:p>
    <w:p>
      <w:pPr>
        <w:pStyle w:val="0"/>
        <w:widowControl w:val="1"/>
        <w:ind w:firstLine="220" w:firstLineChars="100"/>
        <w:jc w:val="righ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（国土交通省ホームページから引用）</w:t>
      </w:r>
    </w:p>
    <w:p>
      <w:pPr>
        <w:pStyle w:val="0"/>
        <w:widowControl w:val="1"/>
        <w:ind w:left="105" w:leftChars="50"/>
        <w:jc w:val="left"/>
        <w:rPr>
          <w:rFonts w:hint="default" w:ascii="HGSｺﾞｼｯｸM" w:hAnsi="HGSｺﾞｼｯｸM" w:eastAsia="HGSｺﾞｼｯｸM"/>
          <w:color w:val="auto"/>
          <w:sz w:val="22"/>
        </w:rPr>
      </w:pPr>
    </w:p>
    <w:p>
      <w:pPr>
        <w:pStyle w:val="0"/>
        <w:widowControl w:val="1"/>
        <w:ind w:left="105" w:leftChars="50"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空家等の物的状態の判断に際して参考となる基準を示すもの。以下は例示であり、これによらない場合も適切に判断していく必要</w:t>
      </w:r>
    </w:p>
    <w:p>
      <w:pPr>
        <w:pStyle w:val="0"/>
        <w:widowControl w:val="1"/>
        <w:ind w:left="440" w:hanging="440" w:hangingChars="200"/>
        <w:jc w:val="left"/>
        <w:rPr>
          <w:rFonts w:hint="default" w:ascii="HGSｺﾞｼｯｸM" w:hAnsi="HGSｺﾞｼｯｸM" w:eastAsia="HGSｺﾞｼｯｸM"/>
          <w:color w:val="auto"/>
          <w:sz w:val="22"/>
        </w:rPr>
      </w:pPr>
    </w:p>
    <w:p>
      <w:pPr>
        <w:pStyle w:val="0"/>
        <w:widowControl w:val="1"/>
        <w:ind w:left="440" w:hanging="440" w:hangingChars="200"/>
        <w:jc w:val="left"/>
        <w:rPr>
          <w:rFonts w:hint="default" w:ascii="HGSｺﾞｼｯｸM" w:hAnsi="HGSｺﾞｼｯｸM" w:eastAsia="HGSｺﾞｼｯｸM"/>
          <w:color w:val="auto"/>
          <w:sz w:val="22"/>
          <w:u w:val="single" w:color="auto"/>
        </w:rPr>
      </w:pPr>
      <w:r>
        <w:rPr>
          <w:rFonts w:hint="eastAsia" w:ascii="HGSｺﾞｼｯｸM" w:hAnsi="HGSｺﾞｼｯｸM" w:eastAsia="HGSｺﾞｼｯｸM"/>
          <w:color w:val="auto"/>
          <w:sz w:val="22"/>
          <w:u w:val="single" w:color="auto"/>
        </w:rPr>
        <w:t>〔別紙１〕そのまま放置すれば倒壊等著しく保安上危険となるおそれのある状態</w:t>
      </w:r>
    </w:p>
    <w:p>
      <w:pPr>
        <w:pStyle w:val="0"/>
        <w:widowControl w:val="1"/>
        <w:ind w:left="440" w:hanging="440" w:hanging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１．建築物が著しく保安上危険となるおそれがある。</w:t>
      </w:r>
    </w:p>
    <w:p>
      <w:pPr>
        <w:pStyle w:val="0"/>
        <w:widowControl w:val="1"/>
        <w:ind w:left="440" w:hanging="440" w:hanging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（１）建築物が倒壊等するおそれがある。</w:t>
      </w:r>
    </w:p>
    <w:p>
      <w:pPr>
        <w:pStyle w:val="0"/>
        <w:widowControl w:val="1"/>
        <w:ind w:left="430" w:leftChars="1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イ建築物の著しい傾斜</w:t>
      </w:r>
    </w:p>
    <w:p>
      <w:pPr>
        <w:pStyle w:val="0"/>
        <w:widowControl w:val="1"/>
        <w:ind w:left="420" w:left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・基礎に不同沈下がある　　　　　・柱が傾斜している　等</w:t>
      </w:r>
    </w:p>
    <w:p>
      <w:pPr>
        <w:pStyle w:val="0"/>
        <w:widowControl w:val="1"/>
        <w:ind w:left="430" w:leftChars="1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ロ建築物の構造耐力上主要な部分の損傷等</w:t>
      </w:r>
    </w:p>
    <w:p>
      <w:pPr>
        <w:pStyle w:val="0"/>
        <w:widowControl w:val="1"/>
        <w:ind w:left="420" w:left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・基礎が破損又は変形している　　・土台が腐朽又は破損している　等</w:t>
      </w:r>
    </w:p>
    <w:p>
      <w:pPr>
        <w:pStyle w:val="0"/>
        <w:widowControl w:val="1"/>
        <w:ind w:left="440" w:hanging="440" w:hanging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（２）屋根、外壁等が脱落、飛散等するおそれがある。</w:t>
      </w:r>
    </w:p>
    <w:p>
      <w:pPr>
        <w:pStyle w:val="0"/>
        <w:widowControl w:val="1"/>
        <w:ind w:left="420" w:left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・屋根が変形している　　　　　　・屋根ふき材が剥落している</w:t>
      </w:r>
    </w:p>
    <w:p>
      <w:pPr>
        <w:pStyle w:val="0"/>
        <w:widowControl w:val="1"/>
        <w:ind w:left="420" w:left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・壁体を貫通する穴が生じている　・看板、給湯設備等が転倒している</w:t>
      </w:r>
    </w:p>
    <w:p>
      <w:pPr>
        <w:pStyle w:val="0"/>
        <w:widowControl w:val="1"/>
        <w:ind w:left="420" w:left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・屋外階段、バルコニーが腐食、破損又は脱落している　等</w:t>
      </w:r>
    </w:p>
    <w:p>
      <w:pPr>
        <w:pStyle w:val="0"/>
        <w:widowControl w:val="1"/>
        <w:ind w:left="440" w:hanging="440" w:hanging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２．擁壁が老朽化し危険となるおそれがある。</w:t>
      </w:r>
    </w:p>
    <w:p>
      <w:pPr>
        <w:pStyle w:val="0"/>
        <w:widowControl w:val="1"/>
        <w:ind w:left="420" w:left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・擁壁表面に水がしみ出し、流出している　等</w:t>
      </w:r>
    </w:p>
    <w:p>
      <w:pPr>
        <w:pStyle w:val="0"/>
        <w:widowControl w:val="1"/>
        <w:ind w:left="440" w:hanging="440" w:hangingChars="200"/>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u w:val="single" w:color="auto"/>
        </w:rPr>
      </w:pPr>
      <w:r>
        <w:rPr>
          <w:rFonts w:hint="eastAsia" w:ascii="HGSｺﾞｼｯｸM" w:hAnsi="HGSｺﾞｼｯｸM" w:eastAsia="HGSｺﾞｼｯｸM"/>
          <w:color w:val="auto"/>
          <w:sz w:val="22"/>
          <w:u w:val="single" w:color="auto"/>
        </w:rPr>
        <w:t>〔別紙２〕そのまま放置すれば著しく衛生上有害となるおそれのある状態</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（１）建築物又は設備等の破損等が原因で、以下の状態にある。</w:t>
      </w:r>
    </w:p>
    <w:p>
      <w:pPr>
        <w:pStyle w:val="0"/>
        <w:widowControl w:val="1"/>
        <w:ind w:firstLine="440" w:firstLine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・吹付け石</w:t>
      </w:r>
      <w:bookmarkStart w:id="300" w:name="_Toc21544"/>
      <w:bookmarkStart w:id="301" w:name="_Toc32371"/>
      <w:bookmarkStart w:id="302" w:name="_Toc36047489"/>
      <w:r>
        <w:rPr>
          <w:rFonts w:hint="eastAsia" w:ascii="HGSｺﾞｼｯｸM" w:hAnsi="HGSｺﾞｼｯｸM" w:eastAsia="HGSｺﾞｼｯｸM"/>
          <w:color w:val="auto"/>
          <w:sz w:val="22"/>
        </w:rPr>
        <w:t>綿等が飛散し暴露する可能性</w:t>
      </w:r>
      <w:bookmarkEnd w:id="300"/>
      <w:bookmarkEnd w:id="301"/>
      <w:bookmarkEnd w:id="302"/>
      <w:r>
        <w:rPr>
          <w:rFonts w:hint="eastAsia" w:ascii="HGSｺﾞｼｯｸM" w:hAnsi="HGSｺﾞｼｯｸM" w:eastAsia="HGSｺﾞｼｯｸM"/>
          <w:color w:val="auto"/>
          <w:sz w:val="22"/>
        </w:rPr>
        <w:t>が高い状況である。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・浄化槽等の放置、破損等による汚物の流出、臭気の発生があり、地域住民の日常生活に支障を及ぼしている。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・排水等の流出による臭気の発生があり、地域住民の日常生活に支障を及ぼしている。</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（２）ごみ等の放置、不法投棄が原因で、以下の状態にある。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・ごみ等の放置、不法投棄による臭気の発生があり、地域住民の日常生活に影響を及ぼしている。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・ごみ等の放置、不法投棄により、多数のねずみ、はえ、蚊等が発生し、地域住民の日常生活に影響を及ぼしている。</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u w:val="single" w:color="auto"/>
        </w:rPr>
      </w:pPr>
      <w:r>
        <w:rPr>
          <w:rFonts w:hint="eastAsia" w:ascii="HGSｺﾞｼｯｸM" w:hAnsi="HGSｺﾞｼｯｸM" w:eastAsia="HGSｺﾞｼｯｸM"/>
          <w:color w:val="auto"/>
          <w:sz w:val="22"/>
          <w:u w:val="single" w:color="auto"/>
        </w:rPr>
        <w:t>〔別紙３〕適切な管理が行われていないことにより著しく景観を損なっている状態</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（１）適切な管理が行われていない結果、既存の景観ルールに著しく適合していない状態となっている。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・景観法に基づき景観計画を策定している場合において、当該景観計画に定める建築物又は工作物の形態意匠等の制限に著しく適合していない状態となっている。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・地域で定められた景観保全に係るルールに著しく適合しない状態となっている。　等</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（２）その他、以下のような状態にあり、周囲の景観と著しく不調和な状態である。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・屋根、外壁等が、汚物や落書き等で外見上大きく傷んだり汚れたまま放置されている。</w:t>
      </w:r>
    </w:p>
    <w:p>
      <w:pPr>
        <w:pStyle w:val="0"/>
        <w:widowControl w:val="1"/>
        <w:ind w:firstLine="440" w:firstLine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・多数の窓ガラスが割れたまま放置されている。</w:t>
      </w:r>
    </w:p>
    <w:p>
      <w:pPr>
        <w:pStyle w:val="0"/>
        <w:widowControl w:val="1"/>
        <w:ind w:firstLine="440" w:firstLine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・立木等が建築物の全面を覆う程度まで繁茂している。　等</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u w:val="single" w:color="auto"/>
        </w:rPr>
      </w:pPr>
      <w:r>
        <w:rPr>
          <w:rFonts w:hint="eastAsia" w:ascii="HGSｺﾞｼｯｸM" w:hAnsi="HGSｺﾞｼｯｸM" w:eastAsia="HGSｺﾞｼｯｸM"/>
          <w:color w:val="auto"/>
          <w:sz w:val="22"/>
          <w:u w:val="single" w:color="auto"/>
        </w:rPr>
        <w:t>〔別紙４〕その他周辺の生活環境の保全を図るために放置することが不適切である状態</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（１）立木が原因で、以下の状態にある。</w:t>
      </w:r>
    </w:p>
    <w:p>
      <w:pPr>
        <w:pStyle w:val="0"/>
        <w:widowControl w:val="1"/>
        <w:ind w:firstLine="440" w:firstLineChars="2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・立木の枝等が近隣の道路等にはみ出し、歩行者等の通行を妨げている。　等</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（２）空家等に住みついた動物等が原因で、以下の状態にある。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・動物のふん尿その他の汚物の放置により、臭気が発生し、地域住民の日常生活に支障を及ぼしている。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・シロアリが大量に発生し、近隣の家屋に飛来し、地域住民の生活環境に悪影響を及ぼすおそれがある。　等</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（３）建築物等の不適切な管理が原因で、以下の状態にある。</w:t>
      </w:r>
    </w:p>
    <w:p>
      <w:pPr>
        <w:pStyle w:val="0"/>
        <w:widowControl w:val="1"/>
        <w:ind w:left="640" w:leftChars="20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・門扉が施錠されていない、窓ガラスが割れている等不特定の者が容易に侵入できる状態で放置されている。　等</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br w:type="page"/>
      </w:r>
    </w:p>
    <w:p>
      <w:pPr>
        <w:pStyle w:val="2"/>
        <w:rPr>
          <w:rFonts w:hint="default" w:ascii="HGSｺﾞｼｯｸM" w:hAnsi="HGSｺﾞｼｯｸM" w:eastAsia="HGSｺﾞｼｯｸM"/>
          <w:color w:val="auto"/>
          <w:sz w:val="24"/>
        </w:rPr>
      </w:pPr>
      <w:bookmarkStart w:id="303" w:name="_Toc13106"/>
      <w:bookmarkStart w:id="304" w:name="_Toc14434"/>
      <w:bookmarkStart w:id="305" w:name="_Toc18008"/>
      <w:bookmarkStart w:id="306" w:name="_Toc19993"/>
      <w:bookmarkStart w:id="307" w:name="_Toc20392"/>
      <w:bookmarkStart w:id="308" w:name="_Toc2646"/>
      <w:bookmarkStart w:id="309" w:name="_Toc27333"/>
      <w:bookmarkStart w:id="310" w:name="_Toc30932"/>
      <w:bookmarkStart w:id="311" w:name="_Toc4472"/>
      <w:bookmarkStart w:id="312" w:name="_Toc5212"/>
      <w:bookmarkStart w:id="313" w:name="_Toc7336"/>
      <w:bookmarkStart w:id="314" w:name="_Toc7567"/>
      <w:bookmarkStart w:id="315" w:name="_Toc7917"/>
      <w:r>
        <w:rPr>
          <w:rFonts w:hint="eastAsia" w:ascii="HGSｺﾞｼｯｸM" w:hAnsi="HGSｺﾞｼｯｸM" w:eastAsia="HGSｺﾞｼｯｸM"/>
          <w:color w:val="auto"/>
          <w:sz w:val="24"/>
        </w:rPr>
        <w:t>（５）特定空家等に対する措置の実施</w:t>
      </w:r>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①助言・指導</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市長は法第１４条第１項の規定に基づき、特定空家等の所有者等に対し適切な管理のため必要な措置を講ずるよう助言・指導を行います。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②勧告</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市長は、助言・指導を行っても必要な措置の履行がみられない場合は、法第１４条第２項の規定に基づき、相当な猶予期間を定めたうえで、適切な管理のために必要な措置を講ずるよう勧告を行います。勧告を受けた特定空家等の敷地（土地）については、固定資産税等の住宅用地特例（※）の適用対象から除外されます。</w:t>
      </w:r>
    </w:p>
    <w:p>
      <w:pPr>
        <w:pStyle w:val="0"/>
        <w:widowControl w:val="1"/>
        <w:ind w:left="420" w:leftChars="200" w:firstLine="220" w:firstLineChars="100"/>
        <w:jc w:val="left"/>
        <w:rPr>
          <w:rFonts w:hint="default" w:ascii="HGSｺﾞｼｯｸM" w:hAnsi="HGSｺﾞｼｯｸM" w:eastAsia="HGSｺﾞｼｯｸM"/>
          <w:color w:val="auto"/>
          <w:sz w:val="22"/>
        </w:rPr>
      </w:pPr>
    </w:p>
    <w:tbl>
      <w:tblPr>
        <w:tblStyle w:val="35"/>
        <w:tblW w:w="8702" w:type="dxa"/>
        <w:tblInd w:w="0" w:type="dxa"/>
        <w:tblLayout w:type="fixed"/>
        <w:tblLook w:firstRow="1" w:lastRow="0" w:firstColumn="1" w:lastColumn="0" w:noHBand="0" w:noVBand="1" w:val="04A0"/>
      </w:tblPr>
      <w:tblGrid>
        <w:gridCol w:w="8702"/>
      </w:tblGrid>
      <w:tr>
        <w:trPr>
          <w:trHeight w:val="3893" w:hRule="atLeast"/>
        </w:trPr>
        <w:tc>
          <w:tcPr>
            <w:tcW w:w="8702" w:type="dxa"/>
            <w:vAlign w:val="top"/>
          </w:tcPr>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※固定資産税等の住宅用地特例について</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住宅用地は、その税負担を特に軽減する必要から下記の区分により、土地の固定資産税額がそれぞれ軽減されています。（地方税法第３４９条の３の２。）同法の改正により、勧告がされた特定空家等の敷地について住宅用地特例の適用対象から除外されました。（平成２７年５月２６日付け総税固第４１号。）</w:t>
            </w:r>
          </w:p>
          <w:p>
            <w:pPr>
              <w:pStyle w:val="0"/>
              <w:widowControl w:val="1"/>
              <w:jc w:val="left"/>
              <w:rPr>
                <w:rFonts w:hint="default" w:ascii="HGSｺﾞｼｯｸM" w:hAnsi="HGSｺﾞｼｯｸM" w:eastAsia="HGSｺﾞｼｯｸM"/>
                <w:color w:val="auto"/>
                <w:sz w:val="22"/>
              </w:rPr>
            </w:pPr>
          </w:p>
          <w:tbl>
            <w:tblPr>
              <w:tblStyle w:val="35"/>
              <w:tblW w:w="8222" w:type="dxa"/>
              <w:tblInd w:w="250" w:type="dxa"/>
              <w:tblLayout w:type="fixed"/>
              <w:tblLook w:firstRow="1" w:lastRow="0" w:firstColumn="1" w:lastColumn="0" w:noHBand="0" w:noVBand="1" w:val="04A0"/>
            </w:tblPr>
            <w:tblGrid>
              <w:gridCol w:w="1843"/>
              <w:gridCol w:w="3189"/>
              <w:gridCol w:w="3190"/>
            </w:tblGrid>
            <w:tr>
              <w:trPr/>
              <w:tc>
                <w:tcPr>
                  <w:tcW w:w="1843" w:type="dxa"/>
                  <w:vAlign w:val="top"/>
                </w:tcPr>
                <w:p>
                  <w:pPr>
                    <w:pStyle w:val="0"/>
                    <w:widowControl w:val="1"/>
                    <w:jc w:val="left"/>
                    <w:rPr>
                      <w:rFonts w:hint="default" w:ascii="HGSｺﾞｼｯｸM" w:hAnsi="HGSｺﾞｼｯｸM" w:eastAsia="HGSｺﾞｼｯｸM"/>
                      <w:color w:val="auto"/>
                      <w:sz w:val="22"/>
                    </w:rPr>
                  </w:pPr>
                </w:p>
              </w:tc>
              <w:tc>
                <w:tcPr>
                  <w:tcW w:w="3189" w:type="dxa"/>
                  <w:vAlign w:val="center"/>
                </w:tcPr>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小規模住宅用地</w:t>
                  </w:r>
                </w:p>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（２００㎡以下の部分）</w:t>
                  </w:r>
                </w:p>
              </w:tc>
              <w:tc>
                <w:tcPr>
                  <w:tcW w:w="3190" w:type="dxa"/>
                  <w:vAlign w:val="center"/>
                </w:tcPr>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その他の住宅用地</w:t>
                  </w:r>
                </w:p>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（２００㎡を超える部分）</w:t>
                  </w:r>
                </w:p>
              </w:tc>
            </w:tr>
            <w:tr>
              <w:trPr/>
              <w:tc>
                <w:tcPr>
                  <w:tcW w:w="1843" w:type="dxa"/>
                  <w:vAlign w:val="top"/>
                </w:tcPr>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固定資産税の</w:t>
                  </w:r>
                </w:p>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課税標準</w:t>
                  </w:r>
                </w:p>
              </w:tc>
              <w:tc>
                <w:tcPr>
                  <w:tcW w:w="3189" w:type="dxa"/>
                  <w:vAlign w:val="center"/>
                </w:tcPr>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固定資産税：評価額×１／６</w:t>
                  </w:r>
                </w:p>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都市計画税：評価額×１／３</w:t>
                  </w:r>
                </w:p>
              </w:tc>
              <w:tc>
                <w:tcPr>
                  <w:tcW w:w="3190" w:type="dxa"/>
                  <w:vAlign w:val="center"/>
                </w:tcPr>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固定資産税：評価額×１／３</w:t>
                  </w:r>
                </w:p>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都市計画税：評価額×２／３</w:t>
                  </w:r>
                </w:p>
              </w:tc>
            </w:tr>
          </w:tbl>
          <w:p>
            <w:pPr>
              <w:pStyle w:val="0"/>
              <w:widowControl w:val="1"/>
              <w:jc w:val="left"/>
              <w:rPr>
                <w:rFonts w:hint="default" w:ascii="HGSｺﾞｼｯｸM" w:hAnsi="HGSｺﾞｼｯｸM" w:eastAsia="HGSｺﾞｼｯｸM"/>
                <w:color w:val="auto"/>
                <w:sz w:val="22"/>
              </w:rPr>
            </w:pPr>
          </w:p>
        </w:tc>
      </w:tr>
    </w:tbl>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③命令</w:t>
      </w:r>
    </w:p>
    <w:p>
      <w:pPr>
        <w:pStyle w:val="0"/>
        <w:widowControl w:val="1"/>
        <w:ind w:left="0" w:leftChars="0" w:hanging="220" w:hangingChars="100"/>
        <w:jc w:val="left"/>
        <w:rPr>
          <w:rFonts w:hint="default" w:ascii="HGSｺﾞｼｯｸM" w:hAnsi="HGSｺﾞｼｯｸM" w:eastAsia="HGSｺﾞｼｯｸM"/>
          <w:color w:val="FF0000"/>
          <w:sz w:val="22"/>
        </w:rPr>
      </w:pPr>
      <w:r>
        <w:rPr>
          <w:rFonts w:hint="eastAsia" w:ascii="HGSｺﾞｼｯｸM" w:hAnsi="HGSｺﾞｼｯｸM" w:eastAsia="HGSｺﾞｼｯｸM"/>
          <w:color w:val="auto"/>
          <w:sz w:val="22"/>
        </w:rPr>
        <w:t>ア　市長は、勧告を行っても必要な措置の履行が見られない場合で、著しく管理不全な状態であると認められたときは、法第１４条第３項の規定に基づき、所有者等に相当な猶予期間を定めたうえで、必要な措置を講ずるよう命じます。</w:t>
      </w:r>
    </w:p>
    <w:p>
      <w:pPr>
        <w:pStyle w:val="0"/>
        <w:widowControl w:val="1"/>
        <w:ind w:left="22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イ　命令を実施する場合においては、法第１４条第４項の規定に基づき、あらか</w:t>
      </w:r>
      <w:bookmarkStart w:id="316" w:name="_Toc1514"/>
      <w:bookmarkStart w:id="317" w:name="_Toc36047491"/>
      <w:r>
        <w:rPr>
          <w:rFonts w:hint="eastAsia" w:ascii="HGSｺﾞｼｯｸM" w:hAnsi="HGSｺﾞｼｯｸM" w:eastAsia="HGSｺﾞｼｯｸM"/>
          <w:color w:val="auto"/>
          <w:sz w:val="22"/>
        </w:rPr>
        <w:t>じめ、その措置を命じようとする者又はその代理人に対し、意見書及び自己</w:t>
      </w:r>
      <w:bookmarkEnd w:id="316"/>
      <w:bookmarkEnd w:id="317"/>
      <w:r>
        <w:rPr>
          <w:rFonts w:hint="eastAsia" w:ascii="HGSｺﾞｼｯｸM" w:hAnsi="HGSｺﾞｼｯｸM" w:eastAsia="HGSｺﾞｼｯｸM"/>
          <w:color w:val="auto"/>
          <w:sz w:val="22"/>
        </w:rPr>
        <w:t>に有利な証拠を提出する機会を与えます。</w:t>
      </w:r>
    </w:p>
    <w:p>
      <w:pPr>
        <w:pStyle w:val="0"/>
        <w:widowControl w:val="1"/>
        <w:ind w:left="220" w:hanging="220" w:hangingChars="100"/>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④行政代執行</w:t>
      </w:r>
    </w:p>
    <w:p>
      <w:pPr>
        <w:pStyle w:val="0"/>
        <w:widowControl w:val="1"/>
        <w:ind w:left="0" w:leftChars="0" w:hanging="220" w:hangingChars="100"/>
        <w:jc w:val="left"/>
        <w:rPr>
          <w:rFonts w:hint="default" w:ascii="HGSｺﾞｼｯｸM" w:hAnsi="HGSｺﾞｼｯｸM" w:eastAsia="HGSｺﾞｼｯｸM"/>
          <w:color w:val="FF0000"/>
          <w:sz w:val="22"/>
        </w:rPr>
      </w:pPr>
      <w:r>
        <w:rPr>
          <w:rFonts w:hint="eastAsia" w:ascii="HGSｺﾞｼｯｸM" w:hAnsi="HGSｺﾞｼｯｸM" w:eastAsia="HGSｺﾞｼｯｸM"/>
          <w:color w:val="auto"/>
          <w:sz w:val="22"/>
        </w:rPr>
        <w:t>ア　市長は、命令の措置が履行されないときや履行の内容が十分でないと認められる場合は、法第１４条第９項の規定及び、行政代執行法（昭和２３年法律第４３号。）の規定に基づき、所有者等に代わり、当該空家等の除却等必要な措置を講じます。</w:t>
      </w:r>
    </w:p>
    <w:p>
      <w:pPr>
        <w:pStyle w:val="0"/>
        <w:widowControl w:val="1"/>
        <w:ind w:left="220" w:hanging="220" w:hanging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イ　この措置に要した費用等については、行政代執行法第５条の規定により、当該所有者等に請</w:t>
      </w:r>
      <w:bookmarkStart w:id="318" w:name="_Toc14722"/>
      <w:bookmarkEnd w:id="318"/>
      <w:bookmarkStart w:id="319" w:name="_Toc36047492"/>
      <w:bookmarkEnd w:id="319"/>
      <w:r>
        <w:rPr>
          <w:rFonts w:hint="eastAsia" w:ascii="HGSｺﾞｼｯｸM" w:hAnsi="HGSｺﾞｼｯｸM" w:eastAsia="HGSｺﾞｼｯｸM"/>
          <w:color w:val="auto"/>
          <w:sz w:val="22"/>
        </w:rPr>
        <w:t>求します。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⑤略式代執行</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市長は、過失なく措置を命ぜられるべき者を確知することができない場合は、法第１４条第１０項の規定に基づく略式代執行により必要な措置を講じます。</w:t>
      </w:r>
    </w:p>
    <w:p>
      <w:pPr>
        <w:pStyle w:val="2"/>
        <w:widowControl w:val="1"/>
        <w:tabs>
          <w:tab w:val="left" w:leader="none" w:pos="3405"/>
        </w:tabs>
        <w:jc w:val="left"/>
        <w:rPr>
          <w:rFonts w:hint="default" w:ascii="HGSｺﾞｼｯｸM" w:hAnsi="HGSｺﾞｼｯｸM" w:eastAsia="HGSｺﾞｼｯｸM"/>
          <w:color w:val="auto"/>
          <w:sz w:val="24"/>
        </w:rPr>
      </w:pPr>
      <w:r>
        <w:rPr>
          <w:rFonts w:hint="eastAsia" w:ascii="HGSｺﾞｼｯｸM" w:hAnsi="HGSｺﾞｼｯｸM" w:eastAsia="HGSｺﾞｼｯｸM"/>
          <w:color w:val="auto"/>
          <w:sz w:val="22"/>
        </w:rPr>
        <w:br w:type="page"/>
      </w:r>
      <w:bookmarkStart w:id="320" w:name="_Toc10155"/>
      <w:bookmarkStart w:id="321" w:name="_Toc13758"/>
      <w:bookmarkStart w:id="322" w:name="_Toc16890"/>
      <w:bookmarkStart w:id="323" w:name="_Toc26052"/>
      <w:bookmarkStart w:id="324" w:name="_Toc2897"/>
      <w:bookmarkStart w:id="325" w:name="_Toc5836"/>
      <w:bookmarkStart w:id="326" w:name="_Toc7191"/>
      <w:bookmarkStart w:id="327" w:name="_Toc7450"/>
      <w:r>
        <w:rPr>
          <w:rFonts w:hint="eastAsia" w:ascii="HGSｺﾞｼｯｸM" w:hAnsi="HGSｺﾞｼｯｸM" w:eastAsia="HGSｺﾞｼｯｸM"/>
          <w:color w:val="auto"/>
          <w:sz w:val="24"/>
        </w:rPr>
        <w:t>（６）特定空家等に対する措置の基本的な流れ</w:t>
      </w:r>
      <w:bookmarkEnd w:id="320"/>
      <w:bookmarkEnd w:id="321"/>
      <w:bookmarkEnd w:id="322"/>
      <w:bookmarkEnd w:id="323"/>
      <w:bookmarkEnd w:id="324"/>
      <w:bookmarkEnd w:id="325"/>
      <w:bookmarkEnd w:id="326"/>
      <w:bookmarkEnd w:id="327"/>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1345565</wp:posOffset>
                </wp:positionH>
                <wp:positionV relativeFrom="paragraph">
                  <wp:posOffset>165100</wp:posOffset>
                </wp:positionV>
                <wp:extent cx="2997200" cy="333375"/>
                <wp:effectExtent l="635" t="635" r="29845" b="10795"/>
                <wp:wrapNone/>
                <wp:docPr id="1031" name="角丸四角形 9"/>
                <a:graphic xmlns:a="http://schemas.openxmlformats.org/drawingml/2006/main">
                  <a:graphicData uri="http://schemas.microsoft.com/office/word/2010/wordprocessingShape">
                    <wps:wsp>
                      <wps:cNvPr id="1031" name="角丸四角形 9"/>
                      <wps:cNvSpPr/>
                      <wps:spPr>
                        <a:xfrm>
                          <a:off x="0" y="0"/>
                          <a:ext cx="2997200" cy="333375"/>
                        </a:xfrm>
                        <a:prstGeom prst="roundRect">
                          <a:avLst/>
                        </a:prstGeom>
                        <a:noFill/>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事案の発生</w:t>
                            </w:r>
                            <w:r>
                              <w:rPr>
                                <w:rFonts w:hint="eastAsia" w:ascii="HGPｺﾞｼｯｸM" w:hAnsi="HGPｺﾞｼｯｸM" w:eastAsia="HGPｺﾞｼｯｸM"/>
                                <w:sz w:val="21"/>
                              </w:rPr>
                              <w:t>（苦情・相談・要望、実態調査等）</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9" style="mso-wrap-distance-right:9pt;mso-wrap-distance-bottom:0pt;margin-top:13pt;mso-position-vertical-relative:text;mso-position-horizontal-relative:text;v-text-anchor:middle;position:absolute;height:26.25pt;mso-wrap-distance-top:0pt;width:236pt;mso-wrap-distance-left:9pt;margin-left:105.95pt;z-index:2;" o:spid="_x0000_s1031" o:allowincell="t" o:allowoverlap="t" filled="f" stroked="t" strokecolor="#000000 [3213]"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事案の発生</w:t>
                      </w:r>
                      <w:r>
                        <w:rPr>
                          <w:rFonts w:hint="eastAsia" w:ascii="HGPｺﾞｼｯｸM" w:hAnsi="HGPｺﾞｼｯｸM" w:eastAsia="HGPｺﾞｼｯｸM"/>
                          <w:sz w:val="21"/>
                        </w:rPr>
                        <w:t>（苦情・相談・要望、実態調査等）</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2752090</wp:posOffset>
                </wp:positionH>
                <wp:positionV relativeFrom="paragraph">
                  <wp:posOffset>114935</wp:posOffset>
                </wp:positionV>
                <wp:extent cx="161925" cy="180975"/>
                <wp:effectExtent l="635" t="635" r="29845" b="10795"/>
                <wp:wrapNone/>
                <wp:docPr id="1032" name="下矢印 22"/>
                <a:graphic xmlns:a="http://schemas.openxmlformats.org/drawingml/2006/main">
                  <a:graphicData uri="http://schemas.microsoft.com/office/word/2010/wordprocessingShape">
                    <wps:wsp>
                      <wps:cNvPr id="1032" name="下矢印 22"/>
                      <wps:cNvSpPr/>
                      <wps:spPr>
                        <a:xfrm>
                          <a:off x="0" y="0"/>
                          <a:ext cx="161925" cy="180975"/>
                        </a:xfrm>
                        <a:prstGeom prst="downArrow">
                          <a:avLst/>
                        </a:prstGeom>
                        <a:noFill/>
                        <a:ln w="15875">
                          <a:solidFill>
                            <a:schemeClr val="tx1"/>
                          </a:solidFill>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2" style="mso-wrap-distance-right:9pt;mso-wrap-distance-bottom:0pt;margin-top:9.0500000000000007pt;mso-position-vertical-relative:text;mso-position-horizontal-relative:text;position:absolute;height:14.25pt;mso-wrap-distance-top:0pt;width:12.75pt;mso-wrap-distance-left:9pt;margin-left:216.7pt;z-index:11;" o:spid="_x0000_s1032" o:allowincell="t" o:allowoverlap="t" filled="f" stroked="t" strokecolor="#000000 [3213]" strokeweight="1.25pt" o:spt="67" type="#_x0000_t67" adj="10800,5400">
                <v:fill/>
                <v:stroke linestyle="single" endcap="flat" dashstyle="solid" filltype="solid"/>
                <v:textbox style="layout-flow:horizontal;"/>
                <v:imagedata o:title=""/>
                <w10:wrap type="none" anchorx="text" anchory="text"/>
              </v:shape>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91440</wp:posOffset>
                </wp:positionH>
                <wp:positionV relativeFrom="paragraph">
                  <wp:posOffset>143510</wp:posOffset>
                </wp:positionV>
                <wp:extent cx="5584190" cy="333375"/>
                <wp:effectExtent l="635" t="635" r="29845" b="10795"/>
                <wp:wrapNone/>
                <wp:docPr id="1033" name="角丸四角形 11"/>
                <a:graphic xmlns:a="http://schemas.openxmlformats.org/drawingml/2006/main">
                  <a:graphicData uri="http://schemas.microsoft.com/office/word/2010/wordprocessingShape">
                    <wps:wsp>
                      <wps:cNvPr id="1033" name="角丸四角形 11"/>
                      <wps:cNvSpPr/>
                      <wps:spPr>
                        <a:xfrm>
                          <a:off x="0" y="0"/>
                          <a:ext cx="5584190" cy="333375"/>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現地調査（外観等調査）・所有者等調査</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1" style="mso-wrap-distance-right:9pt;mso-wrap-distance-bottom:0pt;margin-top:11.3pt;mso-position-vertical-relative:text;mso-position-horizontal-relative:text;v-text-anchor:middle;position:absolute;height:26.25pt;mso-wrap-distance-top:0pt;width:439.7pt;mso-wrap-distance-left:9pt;margin-left:7.2pt;z-index:3;" o:spid="_x0000_s1033"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現地調査（外観等調査）・所有者等調査</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mc:AlternateContent>
          <mc:Choice Requires="wps">
            <w:drawing>
              <wp:anchor distT="0" distB="0" distL="114300" distR="114300" simplePos="0" relativeHeight="14" behindDoc="0" locked="0" layoutInCell="1" hidden="0" allowOverlap="1">
                <wp:simplePos x="0" y="0"/>
                <wp:positionH relativeFrom="column">
                  <wp:posOffset>780415</wp:posOffset>
                </wp:positionH>
                <wp:positionV relativeFrom="paragraph">
                  <wp:posOffset>19685</wp:posOffset>
                </wp:positionV>
                <wp:extent cx="2028825" cy="333375"/>
                <wp:effectExtent l="635" t="635" r="635" b="635"/>
                <wp:wrapNone/>
                <wp:docPr id="1034" name="角丸四角形 27"/>
                <a:graphic xmlns:a="http://schemas.openxmlformats.org/drawingml/2006/main">
                  <a:graphicData uri="http://schemas.microsoft.com/office/word/2010/wordprocessingShape">
                    <wps:wsp>
                      <wps:cNvPr id="1034" name="角丸四角形 27"/>
                      <wps:cNvSpPr/>
                      <wps:spPr>
                        <a:xfrm>
                          <a:off x="0" y="0"/>
                          <a:ext cx="2028825" cy="333375"/>
                        </a:xfrm>
                        <a:prstGeom prst="roundRect">
                          <a:avLst/>
                        </a:prstGeom>
                        <a:noFill/>
                        <a:ln w="15875" cap="flat" cmpd="sng" algn="ctr">
                          <a:noFill/>
                          <a:prstDash val="solid"/>
                        </a:ln>
                        <a:effectLst/>
                      </wps:spPr>
                      <wps:txbx>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特定空家等と疑われる場合</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27" style="mso-wrap-distance-right:9pt;mso-wrap-distance-bottom:0pt;margin-top:1.55pt;mso-position-vertical-relative:text;mso-position-horizontal-relative:text;v-text-anchor:middle;position:absolute;height:26.25pt;mso-wrap-distance-top:0pt;width:159.75pt;mso-wrap-distance-left:9pt;margin-left:61.45pt;z-index:14;" o:spid="_x0000_s1034" o:allowincell="t" o:allowoverlap="t" filled="f" stroked="f" strokeweight="1.25pt" o:spt="2" arcsize="10923f">
                <v:fill/>
                <v:stroke linestyle="single" endcap="flat" dashstyle="solid"/>
                <v:textbox style="layout-flow:horizontal;">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特定空家等と疑われる場合</w:t>
                      </w:r>
                    </w:p>
                  </w:txbxContent>
                </v:textbox>
                <v:imagedata o:title=""/>
                <w10:wrap type="none" anchorx="text" anchory="text"/>
              </v:roundrect>
            </w:pict>
          </mc:Fallback>
        </mc:AlternateContent>
      </w:r>
      <w:r>
        <w:rPr>
          <w:rFonts w:hint="eastAsia" w:ascii="HGSｺﾞｼｯｸM" w:hAnsi="HGSｺﾞｼｯｸM" w:eastAsia="HGSｺﾞｼｯｸM"/>
          <w:color w:val="auto"/>
          <w:sz w:val="22"/>
        </w:rPr>
        <mc:AlternateContent>
          <mc:Choice Requires="wps">
            <w:drawing>
              <wp:anchor distT="0" distB="0" distL="114300" distR="114300" simplePos="0" relativeHeight="20" behindDoc="0" locked="0" layoutInCell="1" hidden="0" allowOverlap="1">
                <wp:simplePos x="0" y="0"/>
                <wp:positionH relativeFrom="column">
                  <wp:posOffset>643890</wp:posOffset>
                </wp:positionH>
                <wp:positionV relativeFrom="paragraph">
                  <wp:posOffset>130175</wp:posOffset>
                </wp:positionV>
                <wp:extent cx="161925" cy="180975"/>
                <wp:effectExtent l="635" t="635" r="29845" b="10795"/>
                <wp:wrapNone/>
                <wp:docPr id="1035" name="下矢印 46"/>
                <a:graphic xmlns:a="http://schemas.openxmlformats.org/drawingml/2006/main">
                  <a:graphicData uri="http://schemas.microsoft.com/office/word/2010/wordprocessingShape">
                    <wps:wsp>
                      <wps:cNvPr id="1035" name="下矢印 46"/>
                      <wps:cNvSpPr/>
                      <wps:spPr>
                        <a:xfrm>
                          <a:off x="0" y="0"/>
                          <a:ext cx="161925" cy="180975"/>
                        </a:xfrm>
                        <a:prstGeom prst="downArrow">
                          <a:avLst/>
                        </a:prstGeom>
                        <a:noFill/>
                        <a:ln w="15875" cap="flat" cmpd="sng" algn="ctr">
                          <a:solidFill>
                            <a:sysClr val="windowText" lastClr="000000"/>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6" style="mso-wrap-distance-right:9pt;mso-wrap-distance-bottom:0pt;margin-top:10.25pt;mso-position-vertical-relative:text;mso-position-horizontal-relative:text;position:absolute;height:14.25pt;mso-wrap-distance-top:0pt;width:12.75pt;mso-wrap-distance-left:9pt;margin-left:50.7pt;z-index:20;" o:spid="_x0000_s1035" o:allowincell="t" o:allowoverlap="t" filled="f" stroked="t" strokecolor="#000000" strokeweight="1.25pt" o:spt="67" type="#_x0000_t67" adj="10800,54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2" behindDoc="0" locked="0" layoutInCell="1" hidden="0" allowOverlap="1">
                <wp:simplePos x="0" y="0"/>
                <wp:positionH relativeFrom="column">
                  <wp:posOffset>3510915</wp:posOffset>
                </wp:positionH>
                <wp:positionV relativeFrom="paragraph">
                  <wp:posOffset>121920</wp:posOffset>
                </wp:positionV>
                <wp:extent cx="161925" cy="180975"/>
                <wp:effectExtent l="635" t="635" r="29845" b="10795"/>
                <wp:wrapNone/>
                <wp:docPr id="1036" name="下矢印 25"/>
                <a:graphic xmlns:a="http://schemas.openxmlformats.org/drawingml/2006/main">
                  <a:graphicData uri="http://schemas.microsoft.com/office/word/2010/wordprocessingShape">
                    <wps:wsp>
                      <wps:cNvPr id="1036" name="下矢印 25"/>
                      <wps:cNvSpPr/>
                      <wps:spPr>
                        <a:xfrm>
                          <a:off x="0" y="0"/>
                          <a:ext cx="161925" cy="180975"/>
                        </a:xfrm>
                        <a:prstGeom prst="downArrow">
                          <a:avLst/>
                        </a:prstGeom>
                        <a:noFill/>
                        <a:ln w="15875" cap="flat" cmpd="sng" algn="ctr">
                          <a:solidFill>
                            <a:sysClr val="windowText" lastClr="000000"/>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5" style="mso-wrap-distance-right:9pt;mso-wrap-distance-bottom:0pt;margin-top:9.6pt;mso-position-vertical-relative:text;mso-position-horizontal-relative:text;position:absolute;height:14.25pt;mso-wrap-distance-top:0pt;width:12.75pt;mso-wrap-distance-left:9pt;margin-left:276.45pt;z-index:12;" o:spid="_x0000_s1036" o:allowincell="t" o:allowoverlap="t" filled="f" stroked="t" strokecolor="#000000" strokeweight="1.25pt" o:spt="67" type="#_x0000_t67" adj="10800,54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13" behindDoc="0" locked="0" layoutInCell="1" hidden="0" allowOverlap="1">
                <wp:simplePos x="0" y="0"/>
                <wp:positionH relativeFrom="column">
                  <wp:posOffset>3644265</wp:posOffset>
                </wp:positionH>
                <wp:positionV relativeFrom="paragraph">
                  <wp:posOffset>19685</wp:posOffset>
                </wp:positionV>
                <wp:extent cx="2028825" cy="333375"/>
                <wp:effectExtent l="635" t="635" r="635" b="635"/>
                <wp:wrapNone/>
                <wp:docPr id="1037" name="角丸四角形 26"/>
                <a:graphic xmlns:a="http://schemas.openxmlformats.org/drawingml/2006/main">
                  <a:graphicData uri="http://schemas.microsoft.com/office/word/2010/wordprocessingShape">
                    <wps:wsp>
                      <wps:cNvPr id="1037" name="角丸四角形 26"/>
                      <wps:cNvSpPr/>
                      <wps:spPr>
                        <a:xfrm>
                          <a:off x="0" y="0"/>
                          <a:ext cx="2028825" cy="333375"/>
                        </a:xfrm>
                        <a:prstGeom prst="roundRect">
                          <a:avLst/>
                        </a:prstGeom>
                        <a:noFill/>
                        <a:ln w="15875" cap="flat" cmpd="sng" algn="ctr">
                          <a:noFill/>
                          <a:prstDash val="solid"/>
                        </a:ln>
                        <a:effectLst/>
                      </wps:spPr>
                      <wps:txbx>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周辺に悪影響を及ぼしていると認める場合</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26" style="mso-wrap-distance-right:9pt;mso-wrap-distance-bottom:0pt;margin-top:1.55pt;mso-position-vertical-relative:text;mso-position-horizontal-relative:text;v-text-anchor:middle;position:absolute;height:26.25pt;mso-wrap-distance-top:0pt;width:159.75pt;mso-wrap-distance-left:9pt;margin-left:286.95pt;z-index:13;" o:spid="_x0000_s1037" o:allowincell="t" o:allowoverlap="t" filled="f" stroked="f" strokeweight="1.25pt" o:spt="2" arcsize="10923f">
                <v:fill/>
                <v:stroke linestyle="single" endcap="flat" dashstyle="solid"/>
                <v:textbox style="layout-flow:horizontal;">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周辺に悪影響を及ぼしていると認める場合</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15" behindDoc="0" locked="0" layoutInCell="1" hidden="0" allowOverlap="1">
                <wp:simplePos x="0" y="0"/>
                <wp:positionH relativeFrom="column">
                  <wp:posOffset>99060</wp:posOffset>
                </wp:positionH>
                <wp:positionV relativeFrom="paragraph">
                  <wp:posOffset>126365</wp:posOffset>
                </wp:positionV>
                <wp:extent cx="2514600" cy="333375"/>
                <wp:effectExtent l="635" t="635" r="29845" b="10795"/>
                <wp:wrapNone/>
                <wp:docPr id="1038" name="角丸四角形 30"/>
                <a:graphic xmlns:a="http://schemas.openxmlformats.org/drawingml/2006/main">
                  <a:graphicData uri="http://schemas.microsoft.com/office/word/2010/wordprocessingShape">
                    <wps:wsp>
                      <wps:cNvPr id="1038" name="角丸四角形 30"/>
                      <wps:cNvSpPr/>
                      <wps:spPr>
                        <a:xfrm>
                          <a:off x="0" y="0"/>
                          <a:ext cx="2514600" cy="333375"/>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立入調査（法</w:t>
                            </w:r>
                            <w:r>
                              <w:rPr>
                                <w:rFonts w:hint="eastAsia" w:ascii="HGPｺﾞｼｯｸM" w:hAnsi="HGPｺﾞｼｯｸM" w:eastAsia="HGPｺﾞｼｯｸM"/>
                              </w:rPr>
                              <w:t>9-1</w:t>
                            </w:r>
                            <w:r>
                              <w:rPr>
                                <w:rFonts w:hint="eastAsia" w:ascii="HGPｺﾞｼｯｸM" w:hAnsi="HGPｺﾞｼｯｸM" w:eastAsia="HGPｺﾞｼｯｸM"/>
                              </w:rPr>
                              <w:t>）</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30" style="mso-wrap-distance-right:9pt;mso-wrap-distance-bottom:0pt;margin-top:9.94pt;mso-position-vertical-relative:text;mso-position-horizontal-relative:text;v-text-anchor:middle;position:absolute;height:26.25pt;mso-wrap-distance-top:0pt;width:198pt;mso-wrap-distance-left:9pt;margin-left:7.8pt;z-index:15;" o:spid="_x0000_s1038"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立入調査（法</w:t>
                      </w:r>
                      <w:r>
                        <w:rPr>
                          <w:rFonts w:hint="eastAsia" w:ascii="HGPｺﾞｼｯｸM" w:hAnsi="HGPｺﾞｼｯｸM" w:eastAsia="HGPｺﾞｼｯｸM"/>
                        </w:rPr>
                        <w:t>9-1</w:t>
                      </w:r>
                      <w:r>
                        <w:rPr>
                          <w:rFonts w:hint="eastAsia" w:ascii="HGPｺﾞｼｯｸM" w:hAnsi="HGPｺﾞｼｯｸM" w:eastAsia="HGPｺﾞｼｯｸM"/>
                        </w:rPr>
                        <w:t>）</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 behindDoc="0" locked="0" layoutInCell="1" hidden="0" allowOverlap="1">
                <wp:simplePos x="0" y="0"/>
                <wp:positionH relativeFrom="column">
                  <wp:posOffset>3148965</wp:posOffset>
                </wp:positionH>
                <wp:positionV relativeFrom="paragraph">
                  <wp:posOffset>124460</wp:posOffset>
                </wp:positionV>
                <wp:extent cx="2524125" cy="333375"/>
                <wp:effectExtent l="635" t="635" r="29845" b="10795"/>
                <wp:wrapNone/>
                <wp:docPr id="1039" name="角丸四角形 12"/>
                <a:graphic xmlns:a="http://schemas.openxmlformats.org/drawingml/2006/main">
                  <a:graphicData uri="http://schemas.microsoft.com/office/word/2010/wordprocessingShape">
                    <wps:wsp>
                      <wps:cNvPr id="1039" name="角丸四角形 12"/>
                      <wps:cNvSpPr/>
                      <wps:spPr>
                        <a:xfrm>
                          <a:off x="0" y="0"/>
                          <a:ext cx="2524125" cy="333375"/>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color w:val="auto"/>
                              </w:rPr>
                            </w:pPr>
                            <w:r>
                              <w:rPr>
                                <w:rFonts w:hint="eastAsia" w:ascii="HGPｺﾞｼｯｸM" w:hAnsi="HGPｺﾞｼｯｸM" w:eastAsia="HGPｺﾞｼｯｸM"/>
                                <w:color w:val="auto"/>
                              </w:rPr>
                              <w:t>適切な管理を助言・指導（行政指導）</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2" style="mso-wrap-distance-right:9pt;mso-wrap-distance-bottom:0pt;margin-top:9.8000000000000007pt;mso-position-vertical-relative:text;mso-position-horizontal-relative:text;v-text-anchor:middle;position:absolute;height:26.25pt;mso-wrap-distance-top:0pt;width:198.75pt;mso-wrap-distance-left:9pt;margin-left:247.95pt;z-index:4;" o:spid="_x0000_s1039"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color w:val="auto"/>
                        </w:rPr>
                      </w:pPr>
                      <w:r>
                        <w:rPr>
                          <w:rFonts w:hint="eastAsia" w:ascii="HGPｺﾞｼｯｸM" w:hAnsi="HGPｺﾞｼｯｸM" w:eastAsia="HGPｺﾞｼｯｸM"/>
                          <w:color w:val="auto"/>
                        </w:rPr>
                        <w:t>適切な管理を助言・指導（行政指導）</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mc:AlternateContent>
          <mc:Choice Requires="wps">
            <w:drawing>
              <wp:anchor distT="0" distB="0" distL="114300" distR="114300" simplePos="0" relativeHeight="16" behindDoc="0" locked="0" layoutInCell="1" hidden="0" allowOverlap="1">
                <wp:simplePos x="0" y="0"/>
                <wp:positionH relativeFrom="column">
                  <wp:posOffset>788035</wp:posOffset>
                </wp:positionH>
                <wp:positionV relativeFrom="paragraph">
                  <wp:posOffset>215265</wp:posOffset>
                </wp:positionV>
                <wp:extent cx="1473835" cy="333375"/>
                <wp:effectExtent l="635" t="635" r="635" b="635"/>
                <wp:wrapNone/>
                <wp:docPr id="1040" name="角丸四角形 31"/>
                <a:graphic xmlns:a="http://schemas.openxmlformats.org/drawingml/2006/main">
                  <a:graphicData uri="http://schemas.microsoft.com/office/word/2010/wordprocessingShape">
                    <wps:wsp>
                      <wps:cNvPr id="1040" name="角丸四角形 31"/>
                      <wps:cNvSpPr/>
                      <wps:spPr>
                        <a:xfrm>
                          <a:off x="0" y="0"/>
                          <a:ext cx="1473835" cy="333375"/>
                        </a:xfrm>
                        <a:prstGeom prst="roundRect">
                          <a:avLst/>
                        </a:prstGeom>
                        <a:noFill/>
                        <a:ln w="15875" cap="flat" cmpd="sng" algn="ctr">
                          <a:noFill/>
                          <a:prstDash val="solid"/>
                        </a:ln>
                        <a:effectLst/>
                      </wps:spPr>
                      <wps:txbx>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特定空家等と認められる場合</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31" style="mso-wrap-distance-right:9pt;mso-wrap-distance-bottom:0pt;margin-top:16.95pt;mso-position-vertical-relative:text;mso-position-horizontal-relative:text;v-text-anchor:middle;position:absolute;height:26.25pt;mso-wrap-distance-top:0pt;width:116.05pt;mso-wrap-distance-left:9pt;margin-left:62.05pt;z-index:16;" o:spid="_x0000_s1040" o:allowincell="t" o:allowoverlap="t" filled="f" stroked="f" strokeweight="1.25pt" o:spt="2" arcsize="10923f">
                <v:fill/>
                <v:stroke linestyle="single" endcap="flat" dashstyle="solid"/>
                <v:textbox style="layout-flow:horizontal;">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特定空家等と認められる場合</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mc:AlternateContent>
          <mc:Choice Requires="wps">
            <w:drawing>
              <wp:anchor distT="0" distB="0" distL="114300" distR="114300" simplePos="0" relativeHeight="21" behindDoc="0" locked="0" layoutInCell="1" hidden="0" allowOverlap="1">
                <wp:simplePos x="0" y="0"/>
                <wp:positionH relativeFrom="column">
                  <wp:posOffset>645160</wp:posOffset>
                </wp:positionH>
                <wp:positionV relativeFrom="paragraph">
                  <wp:posOffset>64770</wp:posOffset>
                </wp:positionV>
                <wp:extent cx="161925" cy="180975"/>
                <wp:effectExtent l="635" t="635" r="29845" b="10795"/>
                <wp:wrapNone/>
                <wp:docPr id="1041" name="下矢印 47"/>
                <a:graphic xmlns:a="http://schemas.openxmlformats.org/drawingml/2006/main">
                  <a:graphicData uri="http://schemas.microsoft.com/office/word/2010/wordprocessingShape">
                    <wps:wsp>
                      <wps:cNvPr id="1041" name="下矢印 47"/>
                      <wps:cNvSpPr/>
                      <wps:spPr>
                        <a:xfrm>
                          <a:off x="0" y="0"/>
                          <a:ext cx="161925" cy="180975"/>
                        </a:xfrm>
                        <a:prstGeom prst="downArrow">
                          <a:avLst/>
                        </a:prstGeom>
                        <a:noFill/>
                        <a:ln w="15875" cap="flat" cmpd="sng" algn="ctr">
                          <a:solidFill>
                            <a:sysClr val="windowText" lastClr="000000"/>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7" style="mso-wrap-distance-right:9pt;mso-wrap-distance-bottom:0pt;margin-top:5.09pt;mso-position-vertical-relative:text;mso-position-horizontal-relative:text;position:absolute;height:14.25pt;mso-wrap-distance-top:0pt;width:12.75pt;mso-wrap-distance-left:9pt;margin-left:50.8pt;z-index:21;" o:spid="_x0000_s1041" o:allowincell="t" o:allowoverlap="t" filled="f" stroked="t" strokecolor="#000000" strokeweight="1.25pt" o:spt="67" type="#_x0000_t67" adj="10800,5400">
                <v:fill/>
                <v:stroke linestyle="single" endcap="flat" dashstyle="solid" filltype="solid"/>
                <v:textbox style="layout-flow:horizontal;"/>
                <v:imagedata o:title=""/>
                <w10:wrap type="none" anchorx="text" anchory="text"/>
              </v:shape>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97155</wp:posOffset>
                </wp:positionH>
                <wp:positionV relativeFrom="paragraph">
                  <wp:posOffset>78740</wp:posOffset>
                </wp:positionV>
                <wp:extent cx="2520950" cy="333375"/>
                <wp:effectExtent l="635" t="635" r="29845" b="10795"/>
                <wp:wrapNone/>
                <wp:docPr id="1042" name="角丸四角形 14"/>
                <a:graphic xmlns:a="http://schemas.openxmlformats.org/drawingml/2006/main">
                  <a:graphicData uri="http://schemas.microsoft.com/office/word/2010/wordprocessingShape">
                    <wps:wsp>
                      <wps:cNvPr id="1042" name="角丸四角形 14"/>
                      <wps:cNvSpPr/>
                      <wps:spPr>
                        <a:xfrm>
                          <a:off x="0" y="0"/>
                          <a:ext cx="2520950" cy="333375"/>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color w:val="auto"/>
                              </w:rPr>
                            </w:pPr>
                            <w:r>
                              <w:rPr>
                                <w:rFonts w:hint="eastAsia" w:ascii="HGPｺﾞｼｯｸM" w:hAnsi="HGPｺﾞｼｯｸM" w:eastAsia="HGPｺﾞｼｯｸM"/>
                                <w:color w:val="auto"/>
                              </w:rPr>
                              <w:t>特定空家等の認定</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4" style="mso-wrap-distance-right:9pt;mso-wrap-distance-bottom:0pt;margin-top:6.2pt;mso-position-vertical-relative:text;mso-position-horizontal-relative:text;v-text-anchor:middle;position:absolute;height:26.25pt;mso-wrap-distance-top:0pt;width:198.5pt;mso-wrap-distance-left:9pt;margin-left:7.65pt;z-index:5;" o:spid="_x0000_s1042"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color w:val="auto"/>
                        </w:rPr>
                      </w:pPr>
                      <w:r>
                        <w:rPr>
                          <w:rFonts w:hint="eastAsia" w:ascii="HGPｺﾞｼｯｸM" w:hAnsi="HGPｺﾞｼｯｸM" w:eastAsia="HGPｺﾞｼｯｸM"/>
                          <w:color w:val="auto"/>
                        </w:rPr>
                        <w:t>特定空家等の認定</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8" behindDoc="0" locked="0" layoutInCell="1" hidden="0" allowOverlap="1">
                <wp:simplePos x="0" y="0"/>
                <wp:positionH relativeFrom="column">
                  <wp:posOffset>2748280</wp:posOffset>
                </wp:positionH>
                <wp:positionV relativeFrom="paragraph">
                  <wp:posOffset>151130</wp:posOffset>
                </wp:positionV>
                <wp:extent cx="266700" cy="190500"/>
                <wp:effectExtent l="635" t="635" r="29845" b="10795"/>
                <wp:wrapNone/>
                <wp:docPr id="1043" name="左右矢印 41"/>
                <a:graphic xmlns:a="http://schemas.openxmlformats.org/drawingml/2006/main">
                  <a:graphicData uri="http://schemas.microsoft.com/office/word/2010/wordprocessingShape">
                    <wps:wsp>
                      <wps:cNvPr id="1043" name="左右矢印 41"/>
                      <wps:cNvSpPr/>
                      <wps:spPr>
                        <a:xfrm>
                          <a:off x="0" y="0"/>
                          <a:ext cx="266700" cy="190500"/>
                        </a:xfrm>
                        <a:prstGeom prst="leftRightArrow">
                          <a:avLst/>
                        </a:prstGeom>
                        <a:noFill/>
                        <a:ln w="15875">
                          <a:solidFill>
                            <a:schemeClr val="tx1"/>
                          </a:solidFill>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41" style="mso-wrap-distance-right:9pt;mso-wrap-distance-bottom:0pt;margin-top:11.9pt;mso-position-vertical-relative:text;mso-position-horizontal-relative:text;position:absolute;height:15pt;mso-wrap-distance-top:0pt;width:21pt;mso-wrap-distance-left:9pt;margin-left:216.4pt;z-index:48;" o:spid="_x0000_s1043" o:allowincell="t" o:allowoverlap="t" filled="f" stroked="t" strokecolor="#000000 [3213]" strokeweight="1.25pt" o:spt="69" type="#_x0000_t69" adj="10800,54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35" behindDoc="0" locked="0" layoutInCell="1" hidden="0" allowOverlap="1">
                <wp:simplePos x="0" y="0"/>
                <wp:positionH relativeFrom="column">
                  <wp:posOffset>3143250</wp:posOffset>
                </wp:positionH>
                <wp:positionV relativeFrom="paragraph">
                  <wp:posOffset>74295</wp:posOffset>
                </wp:positionV>
                <wp:extent cx="476250" cy="4102100"/>
                <wp:effectExtent l="635" t="635" r="29845" b="10795"/>
                <wp:wrapNone/>
                <wp:docPr id="1044" name="角丸四角形 15"/>
                <a:graphic xmlns:a="http://schemas.openxmlformats.org/drawingml/2006/main">
                  <a:graphicData uri="http://schemas.microsoft.com/office/word/2010/wordprocessingShape">
                    <wps:wsp>
                      <wps:cNvPr id="1044" name="角丸四角形 15"/>
                      <wps:cNvSpPr/>
                      <wps:spPr>
                        <a:xfrm>
                          <a:off x="0" y="0"/>
                          <a:ext cx="476250" cy="4102100"/>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color w:val="auto"/>
                              </w:rPr>
                            </w:pPr>
                            <w:r>
                              <w:rPr>
                                <w:rFonts w:hint="eastAsia" w:ascii="HGPｺﾞｼｯｸM" w:hAnsi="HGPｺﾞｼｯｸM" w:eastAsia="HGPｺﾞｼｯｸM"/>
                                <w:color w:val="auto"/>
                              </w:rPr>
                              <w:t>有識者による審議会（設置を検討）</w:t>
                            </w:r>
                          </w:p>
                        </w:txbxContent>
                      </wps:txbx>
                      <wps:bodyPr rot="0" vertOverflow="overflow" horzOverflow="overflow" vert="eaVert" wrap="square" numCol="1" spcCol="0" rtlCol="0" fromWordArt="0" anchor="ctr" anchorCtr="0" forceAA="0" compatLnSpc="1"/>
                    </wps:wsp>
                  </a:graphicData>
                </a:graphic>
              </wp:anchor>
            </w:drawing>
          </mc:Choice>
          <mc:Fallback>
            <w:pict>
              <v:roundrect id="角丸四角形 15" style="mso-wrap-distance-right:9pt;mso-wrap-distance-bottom:0pt;margin-top:5.85pt;mso-position-vertical-relative:text;mso-position-horizontal-relative:text;v-text-anchor:middle;position:absolute;height:323pt;mso-wrap-distance-top:0pt;width:37.5pt;mso-wrap-distance-left:9pt;margin-left:247.5pt;z-index:35;" o:spid="_x0000_s1044" o:allowincell="t" o:allowoverlap="t" filled="f" stroked="t" strokecolor="#000000" strokeweight="1.25pt" o:spt="2" arcsize="10923f">
                <v:fill/>
                <v:stroke linestyle="single" endcap="flat" dashstyle="solid" filltype="solid"/>
                <v:textbox style="layout-flow:vertical-ideographic;">
                  <w:txbxContent>
                    <w:p>
                      <w:pPr>
                        <w:pStyle w:val="0"/>
                        <w:jc w:val="center"/>
                        <w:rPr>
                          <w:rFonts w:hint="default" w:ascii="HGPｺﾞｼｯｸM" w:hAnsi="HGPｺﾞｼｯｸM" w:eastAsia="HGPｺﾞｼｯｸM"/>
                          <w:color w:val="auto"/>
                        </w:rPr>
                      </w:pPr>
                      <w:r>
                        <w:rPr>
                          <w:rFonts w:hint="eastAsia" w:ascii="HGPｺﾞｼｯｸM" w:hAnsi="HGPｺﾞｼｯｸM" w:eastAsia="HGPｺﾞｼｯｸM"/>
                          <w:color w:val="auto"/>
                        </w:rPr>
                        <w:t>有識者による審議会（設置を検討）</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44" behindDoc="0" locked="0" layoutInCell="1" hidden="0" allowOverlap="1">
                <wp:simplePos x="0" y="0"/>
                <wp:positionH relativeFrom="column">
                  <wp:posOffset>2576830</wp:posOffset>
                </wp:positionH>
                <wp:positionV relativeFrom="paragraph">
                  <wp:posOffset>17145</wp:posOffset>
                </wp:positionV>
                <wp:extent cx="723900" cy="333375"/>
                <wp:effectExtent l="635" t="635" r="635" b="635"/>
                <wp:wrapNone/>
                <wp:docPr id="1045" name="角丸四角形 57"/>
                <a:graphic xmlns:a="http://schemas.openxmlformats.org/drawingml/2006/main">
                  <a:graphicData uri="http://schemas.microsoft.com/office/word/2010/wordprocessingShape">
                    <wps:wsp>
                      <wps:cNvPr id="1045" name="角丸四角形 57"/>
                      <wps:cNvSpPr/>
                      <wps:spPr>
                        <a:xfrm>
                          <a:off x="0" y="0"/>
                          <a:ext cx="723900" cy="333375"/>
                        </a:xfrm>
                        <a:prstGeom prst="roundRect">
                          <a:avLst/>
                        </a:prstGeom>
                        <a:noFill/>
                        <a:ln w="15875" cap="flat" cmpd="sng" algn="ctr">
                          <a:noFill/>
                          <a:prstDash val="solid"/>
                        </a:ln>
                        <a:effectLst/>
                      </wps:spPr>
                      <wps:txbx>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57" style="mso-wrap-distance-right:9pt;mso-wrap-distance-bottom:0pt;margin-top:1.35pt;mso-position-vertical-relative:text;mso-position-horizontal-relative:text;v-text-anchor:middle;position:absolute;height:26.25pt;mso-wrap-distance-top:0pt;width:57pt;mso-wrap-distance-left:9pt;margin-left:202.9pt;z-index:44;" o:spid="_x0000_s1045" o:allowincell="t" o:allowoverlap="t" filled="f" stroked="f" strokeweight="1.25pt" o:spt="2" arcsize="10923f">
                <v:fill/>
                <v:stroke linestyle="single" endcap="flat" dashstyle="solid"/>
                <v:textbox style="layout-flow:horizontal;">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mc:AlternateContent>
          <mc:Choice Requires="wps">
            <w:drawing>
              <wp:anchor distT="0" distB="0" distL="114300" distR="114300" simplePos="0" relativeHeight="22" behindDoc="0" locked="0" layoutInCell="1" hidden="0" allowOverlap="1">
                <wp:simplePos x="0" y="0"/>
                <wp:positionH relativeFrom="column">
                  <wp:posOffset>645160</wp:posOffset>
                </wp:positionH>
                <wp:positionV relativeFrom="paragraph">
                  <wp:posOffset>17145</wp:posOffset>
                </wp:positionV>
                <wp:extent cx="161925" cy="180975"/>
                <wp:effectExtent l="635" t="635" r="29845" b="10795"/>
                <wp:wrapNone/>
                <wp:docPr id="1046" name="下矢印 48"/>
                <a:graphic xmlns:a="http://schemas.openxmlformats.org/drawingml/2006/main">
                  <a:graphicData uri="http://schemas.microsoft.com/office/word/2010/wordprocessingShape">
                    <wps:wsp>
                      <wps:cNvPr id="1046" name="下矢印 48"/>
                      <wps:cNvSpPr/>
                      <wps:spPr>
                        <a:xfrm>
                          <a:off x="0" y="0"/>
                          <a:ext cx="161925" cy="180975"/>
                        </a:xfrm>
                        <a:prstGeom prst="downArrow">
                          <a:avLst/>
                        </a:prstGeom>
                        <a:noFill/>
                        <a:ln w="15875" cap="flat" cmpd="sng" algn="ctr">
                          <a:solidFill>
                            <a:sysClr val="windowText" lastClr="000000"/>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8" style="mso-wrap-distance-right:9pt;mso-wrap-distance-bottom:0pt;margin-top:1.35pt;mso-position-vertical-relative:text;mso-position-horizontal-relative:text;position:absolute;height:14.25pt;mso-wrap-distance-top:0pt;width:12.75pt;mso-wrap-distance-left:9pt;margin-left:50.8pt;z-index:22;" o:spid="_x0000_s1046" o:allowincell="t" o:allowoverlap="t" filled="f" stroked="t" strokecolor="#000000" strokeweight="1.25pt" o:spt="67" type="#_x0000_t67" adj="10800,5400">
                <v:fill/>
                <v:stroke linestyle="single" endcap="flat" dashstyle="solid" filltype="solid"/>
                <v:textbox style="layout-flow:horizontal;"/>
                <v:imagedata o:title=""/>
                <w10:wrap type="none" anchorx="text" anchory="text"/>
              </v:shape>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91440</wp:posOffset>
                </wp:positionH>
                <wp:positionV relativeFrom="paragraph">
                  <wp:posOffset>26670</wp:posOffset>
                </wp:positionV>
                <wp:extent cx="2505075" cy="333375"/>
                <wp:effectExtent l="635" t="635" r="29845" b="10795"/>
                <wp:wrapNone/>
                <wp:docPr id="1047" name="角丸四角形 16"/>
                <a:graphic xmlns:a="http://schemas.openxmlformats.org/drawingml/2006/main">
                  <a:graphicData uri="http://schemas.microsoft.com/office/word/2010/wordprocessingShape">
                    <wps:wsp>
                      <wps:cNvPr id="1047" name="角丸四角形 16"/>
                      <wps:cNvSpPr/>
                      <wps:spPr>
                        <a:xfrm>
                          <a:off x="0" y="0"/>
                          <a:ext cx="2505075" cy="333375"/>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助言・指導（法</w:t>
                            </w:r>
                            <w:r>
                              <w:rPr>
                                <w:rFonts w:hint="eastAsia" w:ascii="HGPｺﾞｼｯｸM" w:hAnsi="HGPｺﾞｼｯｸM" w:eastAsia="HGPｺﾞｼｯｸM"/>
                              </w:rPr>
                              <w:t>14-</w:t>
                            </w:r>
                            <w:r>
                              <w:rPr>
                                <w:rFonts w:hint="eastAsia" w:ascii="HGPｺﾞｼｯｸM" w:hAnsi="HGPｺﾞｼｯｸM" w:eastAsia="HGPｺﾞｼｯｸM"/>
                              </w:rPr>
                              <w:t>①）</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6" style="mso-wrap-distance-right:9pt;mso-wrap-distance-bottom:0pt;margin-top:2.1pt;mso-position-vertical-relative:text;mso-position-horizontal-relative:text;v-text-anchor:middle;position:absolute;height:26.25pt;mso-wrap-distance-top:0pt;width:197.25pt;mso-wrap-distance-left:9pt;margin-left:7.2pt;z-index:6;" o:spid="_x0000_s1047"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助言・指導（法</w:t>
                      </w:r>
                      <w:r>
                        <w:rPr>
                          <w:rFonts w:hint="eastAsia" w:ascii="HGPｺﾞｼｯｸM" w:hAnsi="HGPｺﾞｼｯｸM" w:eastAsia="HGPｺﾞｼｯｸM"/>
                        </w:rPr>
                        <w:t>14-</w:t>
                      </w:r>
                      <w:r>
                        <w:rPr>
                          <w:rFonts w:hint="eastAsia" w:ascii="HGPｺﾞｼｯｸM" w:hAnsi="HGPｺﾞｼｯｸM" w:eastAsia="HGPｺﾞｼｯｸM"/>
                        </w:rPr>
                        <w:t>①）</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mc:AlternateContent>
          <mc:Choice Requires="wps">
            <w:drawing>
              <wp:anchor distT="0" distB="0" distL="114300" distR="114300" simplePos="0" relativeHeight="17" behindDoc="0" locked="0" layoutInCell="1" hidden="0" allowOverlap="1">
                <wp:simplePos x="0" y="0"/>
                <wp:positionH relativeFrom="column">
                  <wp:posOffset>775335</wp:posOffset>
                </wp:positionH>
                <wp:positionV relativeFrom="paragraph">
                  <wp:posOffset>71120</wp:posOffset>
                </wp:positionV>
                <wp:extent cx="2028825" cy="333375"/>
                <wp:effectExtent l="635" t="635" r="635" b="635"/>
                <wp:wrapNone/>
                <wp:docPr id="1048" name="角丸四角形 33"/>
                <a:graphic xmlns:a="http://schemas.openxmlformats.org/drawingml/2006/main">
                  <a:graphicData uri="http://schemas.microsoft.com/office/word/2010/wordprocessingShape">
                    <wps:wsp>
                      <wps:cNvPr id="1048" name="角丸四角形 33"/>
                      <wps:cNvSpPr/>
                      <wps:spPr>
                        <a:xfrm>
                          <a:off x="0" y="0"/>
                          <a:ext cx="2028825" cy="333375"/>
                        </a:xfrm>
                        <a:prstGeom prst="roundRect">
                          <a:avLst/>
                        </a:prstGeom>
                        <a:noFill/>
                        <a:ln w="15875" cap="flat" cmpd="sng" algn="ctr">
                          <a:noFill/>
                          <a:prstDash val="solid"/>
                        </a:ln>
                        <a:effectLst/>
                      </wps:spPr>
                      <wps:txbx>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状態が改善されないと認める場合</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33" style="mso-wrap-distance-right:9pt;mso-wrap-distance-bottom:0pt;margin-top:5.6pt;mso-position-vertical-relative:text;mso-position-horizontal-relative:text;v-text-anchor:middle;position:absolute;height:26.25pt;mso-wrap-distance-top:0pt;width:159.75pt;mso-wrap-distance-left:9pt;margin-left:61.05pt;z-index:17;" o:spid="_x0000_s1048" o:allowincell="t" o:allowoverlap="t" filled="f" stroked="f" strokeweight="1.25pt" o:spt="2" arcsize="10923f">
                <v:fill/>
                <v:stroke linestyle="single" endcap="flat" dashstyle="solid"/>
                <v:textbox style="layout-flow:horizontal;">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状態が改善されないと認める場合</w:t>
                      </w:r>
                    </w:p>
                  </w:txbxContent>
                </v:textbox>
                <v:imagedata o:title=""/>
                <w10:wrap type="none" anchorx="text" anchory="text"/>
              </v:roundrect>
            </w:pict>
          </mc:Fallback>
        </mc:AlternateContent>
      </w:r>
      <w:r>
        <w:rPr>
          <w:rFonts w:hint="eastAsia" w:ascii="HGSｺﾞｼｯｸM" w:hAnsi="HGSｺﾞｼｯｸM" w:eastAsia="HGSｺﾞｼｯｸM"/>
          <w:color w:val="auto"/>
          <w:sz w:val="22"/>
        </w:rPr>
        <mc:AlternateContent>
          <mc:Choice Requires="wps">
            <w:drawing>
              <wp:anchor distT="0" distB="0" distL="114300" distR="114300" simplePos="0" relativeHeight="23" behindDoc="0" locked="0" layoutInCell="1" hidden="0" allowOverlap="1">
                <wp:simplePos x="0" y="0"/>
                <wp:positionH relativeFrom="column">
                  <wp:posOffset>641985</wp:posOffset>
                </wp:positionH>
                <wp:positionV relativeFrom="paragraph">
                  <wp:posOffset>166370</wp:posOffset>
                </wp:positionV>
                <wp:extent cx="161925" cy="180975"/>
                <wp:effectExtent l="635" t="635" r="29845" b="10795"/>
                <wp:wrapNone/>
                <wp:docPr id="1049" name="下矢印 49"/>
                <a:graphic xmlns:a="http://schemas.openxmlformats.org/drawingml/2006/main">
                  <a:graphicData uri="http://schemas.microsoft.com/office/word/2010/wordprocessingShape">
                    <wps:wsp>
                      <wps:cNvPr id="1049" name="下矢印 49"/>
                      <wps:cNvSpPr/>
                      <wps:spPr>
                        <a:xfrm>
                          <a:off x="0" y="0"/>
                          <a:ext cx="161925" cy="180975"/>
                        </a:xfrm>
                        <a:prstGeom prst="downArrow">
                          <a:avLst/>
                        </a:prstGeom>
                        <a:noFill/>
                        <a:ln w="15875" cap="flat" cmpd="sng" algn="ctr">
                          <a:solidFill>
                            <a:sysClr val="windowText" lastClr="000000"/>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9" style="mso-wrap-distance-right:9pt;mso-wrap-distance-bottom:0pt;margin-top:13.1pt;mso-position-vertical-relative:text;mso-position-horizontal-relative:text;position:absolute;height:14.25pt;mso-wrap-distance-top:0pt;width:12.75pt;mso-wrap-distance-left:9pt;margin-left:50.55pt;z-index:23;" o:spid="_x0000_s1049" o:allowincell="t" o:allowoverlap="t" filled="f" stroked="t" strokecolor="#000000" strokeweight="1.25pt" o:spt="67" type="#_x0000_t67" adj="10800,5400">
                <v:fill/>
                <v:stroke linestyle="single" endcap="flat" dashstyle="solid" filltype="solid"/>
                <v:textbox style="layout-flow:horizontal;"/>
                <v:imagedata o:title=""/>
                <w10:wrap type="none" anchorx="text" anchory="text"/>
              </v:shape>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94615</wp:posOffset>
                </wp:positionH>
                <wp:positionV relativeFrom="paragraph">
                  <wp:posOffset>173355</wp:posOffset>
                </wp:positionV>
                <wp:extent cx="2492375" cy="333375"/>
                <wp:effectExtent l="635" t="635" r="29845" b="10795"/>
                <wp:wrapNone/>
                <wp:docPr id="1050" name="角丸四角形 17"/>
                <a:graphic xmlns:a="http://schemas.openxmlformats.org/drawingml/2006/main">
                  <a:graphicData uri="http://schemas.microsoft.com/office/word/2010/wordprocessingShape">
                    <wps:wsp>
                      <wps:cNvPr id="1050" name="角丸四角形 17"/>
                      <wps:cNvSpPr/>
                      <wps:spPr>
                        <a:xfrm>
                          <a:off x="0" y="0"/>
                          <a:ext cx="2492375" cy="333375"/>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勧告（法</w:t>
                            </w:r>
                            <w:r>
                              <w:rPr>
                                <w:rFonts w:hint="eastAsia" w:ascii="HGPｺﾞｼｯｸM" w:hAnsi="HGPｺﾞｼｯｸM" w:eastAsia="HGPｺﾞｼｯｸM"/>
                              </w:rPr>
                              <w:t>14-</w:t>
                            </w:r>
                            <w:r>
                              <w:rPr>
                                <w:rFonts w:hint="eastAsia" w:ascii="HGPｺﾞｼｯｸM" w:hAnsi="HGPｺﾞｼｯｸM" w:eastAsia="HGPｺﾞｼｯｸM"/>
                              </w:rPr>
                              <w:t>②）</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7" style="mso-wrap-distance-right:9pt;mso-wrap-distance-bottom:0pt;margin-top:13.65pt;mso-position-vertical-relative:text;mso-position-horizontal-relative:text;v-text-anchor:middle;position:absolute;height:26.25pt;mso-wrap-distance-top:0pt;width:196.25pt;mso-wrap-distance-left:9pt;margin-left:7.45pt;z-index:7;" o:spid="_x0000_s1050"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勧告（法</w:t>
                      </w:r>
                      <w:r>
                        <w:rPr>
                          <w:rFonts w:hint="eastAsia" w:ascii="HGPｺﾞｼｯｸM" w:hAnsi="HGPｺﾞｼｯｸM" w:eastAsia="HGPｺﾞｼｯｸM"/>
                        </w:rPr>
                        <w:t>14-</w:t>
                      </w:r>
                      <w:r>
                        <w:rPr>
                          <w:rFonts w:hint="eastAsia" w:ascii="HGPｺﾞｼｯｸM" w:hAnsi="HGPｺﾞｼｯｸM" w:eastAsia="HGPｺﾞｼｯｸM"/>
                        </w:rPr>
                        <w:t>②）</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39" behindDoc="0" locked="0" layoutInCell="1" hidden="0" allowOverlap="1">
                <wp:simplePos x="0" y="0"/>
                <wp:positionH relativeFrom="column">
                  <wp:posOffset>2752090</wp:posOffset>
                </wp:positionH>
                <wp:positionV relativeFrom="paragraph">
                  <wp:posOffset>24765</wp:posOffset>
                </wp:positionV>
                <wp:extent cx="266700" cy="190500"/>
                <wp:effectExtent l="635" t="635" r="29845" b="10795"/>
                <wp:wrapNone/>
                <wp:docPr id="1051" name="左右矢印 41"/>
                <a:graphic xmlns:a="http://schemas.openxmlformats.org/drawingml/2006/main">
                  <a:graphicData uri="http://schemas.microsoft.com/office/word/2010/wordprocessingShape">
                    <wps:wsp>
                      <wps:cNvPr id="1051" name="左右矢印 41"/>
                      <wps:cNvSpPr/>
                      <wps:spPr>
                        <a:xfrm>
                          <a:off x="0" y="0"/>
                          <a:ext cx="266700" cy="190500"/>
                        </a:xfrm>
                        <a:prstGeom prst="leftRightArrow">
                          <a:avLst/>
                        </a:prstGeom>
                        <a:noFill/>
                        <a:ln w="15875">
                          <a:solidFill>
                            <a:schemeClr val="tx1"/>
                          </a:solidFill>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41" style="mso-wrap-distance-right:9pt;mso-wrap-distance-bottom:0pt;margin-top:1.95pt;mso-position-vertical-relative:text;mso-position-horizontal-relative:text;position:absolute;height:15pt;mso-wrap-distance-top:0pt;width:21pt;mso-wrap-distance-left:9pt;margin-left:216.7pt;z-index:39;" o:spid="_x0000_s1051" o:allowincell="t" o:allowoverlap="t" filled="f" stroked="t" strokecolor="#000000 [3213]" strokeweight="1.25pt" o:spt="69" type="#_x0000_t69" adj="10800,54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43" behindDoc="0" locked="0" layoutInCell="1" hidden="0" allowOverlap="1">
                <wp:simplePos x="0" y="0"/>
                <wp:positionH relativeFrom="column">
                  <wp:posOffset>2567305</wp:posOffset>
                </wp:positionH>
                <wp:positionV relativeFrom="paragraph">
                  <wp:posOffset>182245</wp:posOffset>
                </wp:positionV>
                <wp:extent cx="723900" cy="333375"/>
                <wp:effectExtent l="635" t="635" r="635" b="635"/>
                <wp:wrapNone/>
                <wp:docPr id="1052" name="角丸四角形 56"/>
                <a:graphic xmlns:a="http://schemas.openxmlformats.org/drawingml/2006/main">
                  <a:graphicData uri="http://schemas.microsoft.com/office/word/2010/wordprocessingShape">
                    <wps:wsp>
                      <wps:cNvPr id="1052" name="角丸四角形 56"/>
                      <wps:cNvSpPr/>
                      <wps:spPr>
                        <a:xfrm>
                          <a:off x="0" y="0"/>
                          <a:ext cx="723900" cy="333375"/>
                        </a:xfrm>
                        <a:prstGeom prst="roundRect">
                          <a:avLst/>
                        </a:prstGeom>
                        <a:noFill/>
                        <a:ln w="15875" cap="flat" cmpd="sng" algn="ctr">
                          <a:noFill/>
                          <a:prstDash val="solid"/>
                        </a:ln>
                        <a:effectLst/>
                      </wps:spPr>
                      <wps:txbx>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56" style="mso-wrap-distance-right:9pt;mso-wrap-distance-bottom:0pt;margin-top:14.35pt;mso-position-vertical-relative:text;mso-position-horizontal-relative:text;v-text-anchor:middle;position:absolute;height:26.25pt;mso-wrap-distance-top:0pt;width:57pt;mso-wrap-distance-left:9pt;margin-left:202.15pt;z-index:43;" o:spid="_x0000_s1052" o:allowincell="t" o:allowoverlap="t" filled="f" stroked="f" strokeweight="1.25pt" o:spt="2" arcsize="10923f">
                <v:fill/>
                <v:stroke linestyle="single" endcap="flat" dashstyle="solid"/>
                <v:textbox style="layout-flow:horizontal;">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bookmarkStart w:id="328" w:name="_Toc19187"/>
      <w:bookmarkEnd w:id="328"/>
      <w:bookmarkStart w:id="329" w:name="_Toc22746"/>
      <w:bookmarkEnd w:id="329"/>
      <w:bookmarkStart w:id="330" w:name="_Toc24040"/>
      <w:bookmarkEnd w:id="330"/>
      <w:r>
        <w:rPr>
          <w:rFonts w:hint="eastAsia" w:ascii="HGSｺﾞｼｯｸM" w:hAnsi="HGSｺﾞｼｯｸM" w:eastAsia="HGSｺﾞｼｯｸM"/>
          <w:color w:val="auto"/>
          <w:sz w:val="22"/>
        </w:rPr>
        <mc:AlternateContent>
          <mc:Choice Requires="wps">
            <w:drawing>
              <wp:anchor distT="0" distB="0" distL="114300" distR="114300" simplePos="0" relativeHeight="24" behindDoc="0" locked="0" layoutInCell="1" hidden="0" allowOverlap="1">
                <wp:simplePos x="0" y="0"/>
                <wp:positionH relativeFrom="column">
                  <wp:posOffset>646430</wp:posOffset>
                </wp:positionH>
                <wp:positionV relativeFrom="paragraph">
                  <wp:posOffset>113665</wp:posOffset>
                </wp:positionV>
                <wp:extent cx="161925" cy="180975"/>
                <wp:effectExtent l="635" t="635" r="29845" b="10795"/>
                <wp:wrapNone/>
                <wp:docPr id="1053" name="下矢印 50"/>
                <a:graphic xmlns:a="http://schemas.openxmlformats.org/drawingml/2006/main">
                  <a:graphicData uri="http://schemas.microsoft.com/office/word/2010/wordprocessingShape">
                    <wps:wsp>
                      <wps:cNvPr id="1053" name="下矢印 50"/>
                      <wps:cNvSpPr/>
                      <wps:spPr>
                        <a:xfrm>
                          <a:off x="0" y="0"/>
                          <a:ext cx="161925" cy="180975"/>
                        </a:xfrm>
                        <a:prstGeom prst="downArrow">
                          <a:avLst/>
                        </a:prstGeom>
                        <a:noFill/>
                        <a:ln w="15875" cap="flat" cmpd="sng" algn="ctr">
                          <a:solidFill>
                            <a:sysClr val="windowText" lastClr="000000"/>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0" style="mso-wrap-distance-right:9pt;mso-wrap-distance-bottom:0pt;margin-top:8.94pt;mso-position-vertical-relative:text;mso-position-horizontal-relative:text;position:absolute;height:14.25pt;mso-wrap-distance-top:0pt;width:12.75pt;mso-wrap-distance-left:9pt;margin-left:50.9pt;z-index:24;" o:spid="_x0000_s1053" o:allowincell="t" o:allowoverlap="t" filled="f" stroked="t" strokecolor="#000000" strokeweight="1.25pt" o:spt="67" type="#_x0000_t67" adj="10800,5400">
                <v:fill/>
                <v:stroke linestyle="single" endcap="flat" dashstyle="solid" filltype="solid"/>
                <v:textbox style="layout-flow:horizontal;"/>
                <v:imagedata o:title=""/>
                <w10:wrap type="none" anchorx="text" anchory="text"/>
              </v:shape>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91440</wp:posOffset>
                </wp:positionH>
                <wp:positionV relativeFrom="paragraph">
                  <wp:posOffset>121285</wp:posOffset>
                </wp:positionV>
                <wp:extent cx="2492375" cy="333375"/>
                <wp:effectExtent l="635" t="635" r="29845" b="10795"/>
                <wp:wrapNone/>
                <wp:docPr id="1054" name="角丸四角形 18"/>
                <a:graphic xmlns:a="http://schemas.openxmlformats.org/drawingml/2006/main">
                  <a:graphicData uri="http://schemas.microsoft.com/office/word/2010/wordprocessingShape">
                    <wps:wsp>
                      <wps:cNvPr id="1054" name="角丸四角形 18"/>
                      <wps:cNvSpPr/>
                      <wps:spPr>
                        <a:xfrm>
                          <a:off x="0" y="0"/>
                          <a:ext cx="2492375" cy="333375"/>
                        </a:xfrm>
                        <a:prstGeom prst="roundRect">
                          <a:avLst/>
                        </a:prstGeom>
                        <a:noFill/>
                        <a:ln w="15875" cap="flat" cmpd="sng" algn="ctr">
                          <a:solidFill>
                            <a:sysClr val="windowText" lastClr="000000"/>
                          </a:solidFill>
                          <a:prstDash val="solid"/>
                        </a:ln>
                        <a:effectLst/>
                      </wps:spPr>
                      <wps:txbx>
                        <w:txbxContent>
                          <w:p>
                            <w:pPr>
                              <w:pStyle w:val="0"/>
                              <w:jc w:val="center"/>
                              <w:rPr>
                                <w:rFonts w:hint="eastAsia"/>
                              </w:rPr>
                            </w:pPr>
                            <w:r>
                              <w:rPr>
                                <w:rFonts w:hint="eastAsia" w:ascii="HGPｺﾞｼｯｸM" w:hAnsi="HGPｺﾞｼｯｸM" w:eastAsia="HGPｺﾞｼｯｸM"/>
                              </w:rPr>
                              <w:t>弁明機会の付与（法</w:t>
                            </w:r>
                            <w:r>
                              <w:rPr>
                                <w:rFonts w:hint="eastAsia" w:ascii="HGPｺﾞｼｯｸM" w:hAnsi="HGPｺﾞｼｯｸM" w:eastAsia="HGPｺﾞｼｯｸM"/>
                              </w:rPr>
                              <w:t>14-</w:t>
                            </w:r>
                            <w:r>
                              <w:rPr>
                                <w:rFonts w:hint="eastAsia" w:ascii="HGPｺﾞｼｯｸM" w:hAnsi="HGPｺﾞｼｯｸM" w:eastAsia="HGPｺﾞｼｯｸM"/>
                              </w:rPr>
                              <w:t>④）</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8" style="mso-wrap-distance-right:9pt;mso-wrap-distance-bottom:0pt;margin-top:9.5500000000000007pt;mso-position-vertical-relative:text;mso-position-horizontal-relative:text;v-text-anchor:middle;position:absolute;height:26.25pt;mso-wrap-distance-top:0pt;width:196.25pt;mso-wrap-distance-left:9pt;margin-left:7.2pt;z-index:8;" o:spid="_x0000_s1054" o:allowincell="t" o:allowoverlap="t" filled="f" stroked="t" strokecolor="#000000" strokeweight="1.25pt" o:spt="2" arcsize="10923f">
                <v:fill/>
                <v:stroke linestyle="single" endcap="flat" dashstyle="solid" filltype="solid"/>
                <v:textbox style="layout-flow:horizontal;">
                  <w:txbxContent>
                    <w:p>
                      <w:pPr>
                        <w:pStyle w:val="0"/>
                        <w:jc w:val="center"/>
                        <w:rPr>
                          <w:rFonts w:hint="eastAsia"/>
                        </w:rPr>
                      </w:pPr>
                      <w:r>
                        <w:rPr>
                          <w:rFonts w:hint="eastAsia" w:ascii="HGPｺﾞｼｯｸM" w:hAnsi="HGPｺﾞｼｯｸM" w:eastAsia="HGPｺﾞｼｯｸM"/>
                        </w:rPr>
                        <w:t>弁明機会の付与（法</w:t>
                      </w:r>
                      <w:r>
                        <w:rPr>
                          <w:rFonts w:hint="eastAsia" w:ascii="HGPｺﾞｼｯｸM" w:hAnsi="HGPｺﾞｼｯｸM" w:eastAsia="HGPｺﾞｼｯｸM"/>
                        </w:rPr>
                        <w:t>14-</w:t>
                      </w:r>
                      <w:r>
                        <w:rPr>
                          <w:rFonts w:hint="eastAsia" w:ascii="HGPｺﾞｼｯｸM" w:hAnsi="HGPｺﾞｼｯｸM" w:eastAsia="HGPｺﾞｼｯｸM"/>
                        </w:rPr>
                        <w:t>④）</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mc:AlternateContent>
          <mc:Choice Requires="wps">
            <w:drawing>
              <wp:anchor distT="0" distB="0" distL="114300" distR="114300" simplePos="0" relativeHeight="18" behindDoc="0" locked="0" layoutInCell="1" hidden="0" allowOverlap="1">
                <wp:simplePos x="0" y="0"/>
                <wp:positionH relativeFrom="column">
                  <wp:posOffset>772795</wp:posOffset>
                </wp:positionH>
                <wp:positionV relativeFrom="paragraph">
                  <wp:posOffset>40005</wp:posOffset>
                </wp:positionV>
                <wp:extent cx="1809750" cy="666750"/>
                <wp:effectExtent l="635" t="635" r="635" b="635"/>
                <wp:wrapNone/>
                <wp:docPr id="1055" name="角丸四角形 34"/>
                <a:graphic xmlns:a="http://schemas.openxmlformats.org/drawingml/2006/main">
                  <a:graphicData uri="http://schemas.microsoft.com/office/word/2010/wordprocessingShape">
                    <wps:wsp>
                      <wps:cNvPr id="1055" name="角丸四角形 34"/>
                      <wps:cNvSpPr/>
                      <wps:spPr>
                        <a:xfrm>
                          <a:off x="0" y="0"/>
                          <a:ext cx="1809750" cy="666750"/>
                        </a:xfrm>
                        <a:prstGeom prst="roundRect">
                          <a:avLst/>
                        </a:prstGeom>
                        <a:noFill/>
                        <a:ln w="15875" cap="flat" cmpd="sng" algn="ctr">
                          <a:noFill/>
                          <a:prstDash val="solid"/>
                        </a:ln>
                        <a:effectLst/>
                      </wps:spPr>
                      <wps:txbx>
                        <w:txbxContent>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正当な理由がなく勧告にかかる</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措置をとらなかった場合</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34" style="mso-wrap-distance-right:9pt;mso-wrap-distance-bottom:0pt;margin-top:3.15pt;mso-position-vertical-relative:text;mso-position-horizontal-relative:text;v-text-anchor:middle;position:absolute;height:52.5pt;mso-wrap-distance-top:0pt;width:142.5pt;mso-wrap-distance-left:9pt;margin-left:60.85pt;z-index:18;" o:spid="_x0000_s1055" o:allowincell="t" o:allowoverlap="t" filled="f" stroked="f" strokeweight="1.25pt" o:spt="2" arcsize="10923f">
                <v:fill/>
                <v:stroke linestyle="single" endcap="flat" dashstyle="solid"/>
                <v:textbox style="layout-flow:horizontal;">
                  <w:txbxContent>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正当な理由がなく勧告にかかる</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措置をとらなかった場合</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mc:AlternateContent>
          <mc:Choice Requires="wps">
            <w:drawing>
              <wp:anchor distT="0" distB="0" distL="114300" distR="114300" simplePos="0" relativeHeight="25" behindDoc="0" locked="0" layoutInCell="1" hidden="0" allowOverlap="1">
                <wp:simplePos x="0" y="0"/>
                <wp:positionH relativeFrom="column">
                  <wp:posOffset>645160</wp:posOffset>
                </wp:positionH>
                <wp:positionV relativeFrom="paragraph">
                  <wp:posOffset>71120</wp:posOffset>
                </wp:positionV>
                <wp:extent cx="161925" cy="180975"/>
                <wp:effectExtent l="635" t="635" r="29845" b="10795"/>
                <wp:wrapNone/>
                <wp:docPr id="1056" name="下矢印 51"/>
                <a:graphic xmlns:a="http://schemas.openxmlformats.org/drawingml/2006/main">
                  <a:graphicData uri="http://schemas.microsoft.com/office/word/2010/wordprocessingShape">
                    <wps:wsp>
                      <wps:cNvPr id="1056" name="下矢印 51"/>
                      <wps:cNvSpPr/>
                      <wps:spPr>
                        <a:xfrm>
                          <a:off x="0" y="0"/>
                          <a:ext cx="161925" cy="180975"/>
                        </a:xfrm>
                        <a:prstGeom prst="downArrow">
                          <a:avLst/>
                        </a:prstGeom>
                        <a:noFill/>
                        <a:ln w="15875" cap="flat" cmpd="sng" algn="ctr">
                          <a:solidFill>
                            <a:sysClr val="windowText" lastClr="000000"/>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1" style="mso-wrap-distance-right:9pt;mso-wrap-distance-bottom:0pt;margin-top:5.6pt;mso-position-vertical-relative:text;mso-position-horizontal-relative:text;position:absolute;height:14.25pt;mso-wrap-distance-top:0pt;width:12.75pt;mso-wrap-distance-left:9pt;margin-left:50.8pt;z-index:25;" o:spid="_x0000_s1056" o:allowincell="t" o:allowoverlap="t" filled="f" stroked="t" strokecolor="#000000" strokeweight="1.25pt" o:spt="67" type="#_x0000_t67" adj="10800,54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38" behindDoc="0" locked="0" layoutInCell="1" hidden="0" allowOverlap="1">
                <wp:simplePos x="0" y="0"/>
                <wp:positionH relativeFrom="column">
                  <wp:posOffset>3670935</wp:posOffset>
                </wp:positionH>
                <wp:positionV relativeFrom="paragraph">
                  <wp:posOffset>93345</wp:posOffset>
                </wp:positionV>
                <wp:extent cx="1000125" cy="845820"/>
                <wp:effectExtent l="635" t="635" r="635" b="635"/>
                <wp:wrapNone/>
                <wp:docPr id="1057" name="角丸四角形 39"/>
                <a:graphic xmlns:a="http://schemas.openxmlformats.org/drawingml/2006/main">
                  <a:graphicData uri="http://schemas.microsoft.com/office/word/2010/wordprocessingShape">
                    <wps:wsp>
                      <wps:cNvPr id="1057" name="角丸四角形 39"/>
                      <wps:cNvSpPr/>
                      <wps:spPr>
                        <a:xfrm>
                          <a:off x="0" y="0"/>
                          <a:ext cx="1000125" cy="845820"/>
                        </a:xfrm>
                        <a:prstGeom prst="roundRect">
                          <a:avLst/>
                        </a:prstGeom>
                        <a:noFill/>
                        <a:ln w="15875" cap="flat" cmpd="sng" algn="ctr">
                          <a:noFill/>
                          <a:prstDash val="solid"/>
                        </a:ln>
                        <a:effectLst/>
                      </wps:spPr>
                      <wps:txbx>
                        <w:txbxContent>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確知できた所有者等に措置を講ずる権限がない場合（相続放棄）</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39" style="mso-wrap-distance-right:9pt;mso-wrap-distance-bottom:0pt;margin-top:7.35pt;mso-position-vertical-relative:text;mso-position-horizontal-relative:text;v-text-anchor:middle;position:absolute;height:66.59pt;mso-wrap-distance-top:0pt;width:78.75pt;mso-wrap-distance-left:9pt;margin-left:289.05pt;z-index:38;" o:spid="_x0000_s1057" o:allowincell="t" o:allowoverlap="t" filled="f" stroked="f" strokeweight="1.25pt" o:spt="2" arcsize="10923f">
                <v:fill/>
                <v:stroke linestyle="single" endcap="flat" dashstyle="solid"/>
                <v:textbox style="layout-flow:horizontal;">
                  <w:txbxContent>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確知できた所有者等に措置を講ずる権限がない場合（相続放棄）</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37" behindDoc="0" locked="0" layoutInCell="1" hidden="0" allowOverlap="1">
                <wp:simplePos x="0" y="0"/>
                <wp:positionH relativeFrom="column">
                  <wp:posOffset>4559935</wp:posOffset>
                </wp:positionH>
                <wp:positionV relativeFrom="paragraph">
                  <wp:posOffset>91440</wp:posOffset>
                </wp:positionV>
                <wp:extent cx="1000125" cy="847725"/>
                <wp:effectExtent l="635" t="635" r="635" b="635"/>
                <wp:wrapNone/>
                <wp:docPr id="1058" name="角丸四角形 38"/>
                <a:graphic xmlns:a="http://schemas.openxmlformats.org/drawingml/2006/main">
                  <a:graphicData uri="http://schemas.microsoft.com/office/word/2010/wordprocessingShape">
                    <wps:wsp>
                      <wps:cNvPr id="1058" name="角丸四角形 38"/>
                      <wps:cNvSpPr/>
                      <wps:spPr>
                        <a:xfrm>
                          <a:off x="0" y="0"/>
                          <a:ext cx="1000125" cy="847725"/>
                        </a:xfrm>
                        <a:prstGeom prst="roundRect">
                          <a:avLst/>
                        </a:prstGeom>
                        <a:noFill/>
                        <a:ln w="15875" cap="flat" cmpd="sng" algn="ctr">
                          <a:noFill/>
                          <a:prstDash val="solid"/>
                        </a:ln>
                        <a:effectLst/>
                      </wps:spPr>
                      <wps:txbx>
                        <w:txbxContent>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過失がなく措置</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を命ずるものを</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確知できないと</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き</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38" style="mso-wrap-distance-right:9pt;mso-wrap-distance-bottom:0pt;margin-top:7.2pt;mso-position-vertical-relative:text;mso-position-horizontal-relative:text;v-text-anchor:middle;position:absolute;height:66.75pt;mso-wrap-distance-top:0pt;width:78.75pt;mso-wrap-distance-left:9pt;margin-left:359.05pt;z-index:37;" o:spid="_x0000_s1058" o:allowincell="t" o:allowoverlap="t" filled="f" stroked="f" strokeweight="1.25pt" o:spt="2" arcsize="10923f">
                <v:fill/>
                <v:stroke linestyle="single" endcap="flat" dashstyle="solid"/>
                <v:textbox style="layout-flow:horizontal;">
                  <w:txbxContent>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過失がなく措置</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を命ずるものを</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確知できないと</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き</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9" behindDoc="0" locked="0" layoutInCell="1" hidden="0" allowOverlap="1">
                <wp:simplePos x="0" y="0"/>
                <wp:positionH relativeFrom="column">
                  <wp:posOffset>96520</wp:posOffset>
                </wp:positionH>
                <wp:positionV relativeFrom="paragraph">
                  <wp:posOffset>92710</wp:posOffset>
                </wp:positionV>
                <wp:extent cx="2486025" cy="333375"/>
                <wp:effectExtent l="635" t="635" r="29845" b="10795"/>
                <wp:wrapNone/>
                <wp:docPr id="1059" name="角丸四角形 19"/>
                <a:graphic xmlns:a="http://schemas.openxmlformats.org/drawingml/2006/main">
                  <a:graphicData uri="http://schemas.microsoft.com/office/word/2010/wordprocessingShape">
                    <wps:wsp>
                      <wps:cNvPr id="1059" name="角丸四角形 19"/>
                      <wps:cNvSpPr/>
                      <wps:spPr>
                        <a:xfrm>
                          <a:off x="0" y="0"/>
                          <a:ext cx="2486025" cy="333375"/>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命令（法</w:t>
                            </w:r>
                            <w:r>
                              <w:rPr>
                                <w:rFonts w:hint="eastAsia" w:ascii="HGPｺﾞｼｯｸM" w:hAnsi="HGPｺﾞｼｯｸM" w:eastAsia="HGPｺﾞｼｯｸM"/>
                              </w:rPr>
                              <w:t>14-</w:t>
                            </w:r>
                            <w:r>
                              <w:rPr>
                                <w:rFonts w:hint="eastAsia" w:ascii="HGPｺﾞｼｯｸM" w:hAnsi="HGPｺﾞｼｯｸM" w:eastAsia="HGPｺﾞｼｯｸM"/>
                              </w:rPr>
                              <w:t>③）</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9" style="mso-wrap-distance-right:9pt;mso-wrap-distance-bottom:0pt;margin-top:7.3pt;mso-position-vertical-relative:text;mso-position-horizontal-relative:text;v-text-anchor:middle;position:absolute;height:26.25pt;mso-wrap-distance-top:0pt;width:195.75pt;mso-wrap-distance-left:9pt;margin-left:7.6pt;z-index:9;" o:spid="_x0000_s1059"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命令（法</w:t>
                      </w:r>
                      <w:r>
                        <w:rPr>
                          <w:rFonts w:hint="eastAsia" w:ascii="HGPｺﾞｼｯｸM" w:hAnsi="HGPｺﾞｼｯｸM" w:eastAsia="HGPｺﾞｼｯｸM"/>
                        </w:rPr>
                        <w:t>14-</w:t>
                      </w:r>
                      <w:r>
                        <w:rPr>
                          <w:rFonts w:hint="eastAsia" w:ascii="HGPｺﾞｼｯｸM" w:hAnsi="HGPｺﾞｼｯｸM" w:eastAsia="HGPｺﾞｼｯｸM"/>
                        </w:rPr>
                        <w:t>③）</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0" behindDoc="0" locked="0" layoutInCell="1" hidden="0" allowOverlap="1">
                <wp:simplePos x="0" y="0"/>
                <wp:positionH relativeFrom="column">
                  <wp:posOffset>2748280</wp:posOffset>
                </wp:positionH>
                <wp:positionV relativeFrom="paragraph">
                  <wp:posOffset>138430</wp:posOffset>
                </wp:positionV>
                <wp:extent cx="266700" cy="190500"/>
                <wp:effectExtent l="635" t="635" r="29845" b="10795"/>
                <wp:wrapNone/>
                <wp:docPr id="1060" name="左右矢印 43"/>
                <a:graphic xmlns:a="http://schemas.openxmlformats.org/drawingml/2006/main">
                  <a:graphicData uri="http://schemas.microsoft.com/office/word/2010/wordprocessingShape">
                    <wps:wsp>
                      <wps:cNvPr id="1060" name="左右矢印 43"/>
                      <wps:cNvSpPr/>
                      <wps:spPr>
                        <a:xfrm>
                          <a:off x="0" y="0"/>
                          <a:ext cx="266700" cy="190500"/>
                        </a:xfrm>
                        <a:prstGeom prst="leftRightArrow">
                          <a:avLst/>
                        </a:prstGeom>
                        <a:noFill/>
                        <a:ln w="15875" cap="flat" cmpd="sng" algn="ctr">
                          <a:solidFill>
                            <a:sysClr val="windowText" lastClr="000000"/>
                          </a:solidFill>
                          <a:prstDash val="solid"/>
                        </a:ln>
                        <a:effectLst/>
                      </wps:spPr>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43" style="mso-wrap-distance-right:9pt;mso-wrap-distance-bottom:0pt;margin-top:10.9pt;mso-position-vertical-relative:text;mso-position-horizontal-relative:text;position:absolute;height:15pt;mso-wrap-distance-top:0pt;width:21pt;mso-wrap-distance-left:9pt;margin-left:216.4pt;z-index:40;" o:spid="_x0000_s1060" o:allowincell="t" o:allowoverlap="t" filled="f" stroked="t" strokecolor="#000000" strokeweight="1.25pt" o:spt="69" type="#_x0000_t69" adj="10800,5400">
                <v:fill/>
                <v:stroke linestyle="single" endcap="flat" dashstyle="solid" filltype="solid"/>
                <v:textbox style="layout-flow:horizontal;"/>
                <v:imagedata o:title=""/>
                <w10:wrap type="none" anchorx="text" anchory="text"/>
              </v:shape>
            </w:pict>
          </mc:Fallback>
        </mc:AlternateContent>
      </w:r>
    </w:p>
    <w:p>
      <w:pPr>
        <w:pStyle w:val="0"/>
        <w:widowControl w:val="1"/>
        <w:jc w:val="left"/>
        <w:rPr>
          <w:rFonts w:hint="default" w:ascii="HGSｺﾞｼｯｸM" w:hAnsi="HGSｺﾞｼｯｸM" w:eastAsia="HGSｺﾞｼｯｸM"/>
          <w:color w:val="auto"/>
          <w:sz w:val="22"/>
        </w:rPr>
      </w:pPr>
      <w:r>
        <w:rPr>
          <w:rFonts w:hint="eastAsia"/>
          <w:color w:val="auto"/>
        </w:rPr>
        <mc:AlternateContent>
          <mc:Choice Requires="wps">
            <w:drawing>
              <wp:anchor distT="0" distB="0" distL="114300" distR="114300" simplePos="0" relativeHeight="19" behindDoc="0" locked="0" layoutInCell="1" hidden="0" allowOverlap="1">
                <wp:simplePos x="0" y="0"/>
                <wp:positionH relativeFrom="column">
                  <wp:posOffset>808355</wp:posOffset>
                </wp:positionH>
                <wp:positionV relativeFrom="paragraph">
                  <wp:posOffset>20955</wp:posOffset>
                </wp:positionV>
                <wp:extent cx="1600200" cy="666750"/>
                <wp:effectExtent l="635" t="635" r="635" b="635"/>
                <wp:wrapNone/>
                <wp:docPr id="1061" name="角丸四角形 36"/>
                <a:graphic xmlns:a="http://schemas.openxmlformats.org/drawingml/2006/main">
                  <a:graphicData uri="http://schemas.microsoft.com/office/word/2010/wordprocessingShape">
                    <wps:wsp>
                      <wps:cNvPr id="1061" name="角丸四角形 36"/>
                      <wps:cNvSpPr/>
                      <wps:spPr>
                        <a:xfrm>
                          <a:off x="0" y="0"/>
                          <a:ext cx="1600200" cy="666750"/>
                        </a:xfrm>
                        <a:prstGeom prst="roundRect">
                          <a:avLst/>
                        </a:prstGeom>
                        <a:noFill/>
                        <a:ln w="15875" cap="flat" cmpd="sng" algn="ctr">
                          <a:noFill/>
                          <a:prstDash val="solid"/>
                        </a:ln>
                        <a:effectLst/>
                      </wps:spPr>
                      <wps:txbx>
                        <w:txbxContent>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命じられた内容を履行しない</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又は十分でないとき</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36" style="mso-wrap-distance-right:9pt;mso-wrap-distance-bottom:0pt;margin-top:1.65pt;mso-position-vertical-relative:text;mso-position-horizontal-relative:text;v-text-anchor:middle;position:absolute;height:52.5pt;mso-wrap-distance-top:0pt;width:126pt;mso-wrap-distance-left:9pt;margin-left:63.65pt;z-index:19;" o:spid="_x0000_s1061" o:allowincell="t" o:allowoverlap="t" filled="f" stroked="f" strokeweight="1.25pt" o:spt="2" arcsize="10923f">
                <v:fill/>
                <v:stroke linestyle="single" endcap="flat" dashstyle="solid"/>
                <v:textbox style="layout-flow:horizontal;">
                  <w:txbxContent>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命じられた内容を履行しない</w:t>
                      </w:r>
                    </w:p>
                    <w:p>
                      <w:pPr>
                        <w:pStyle w:val="0"/>
                        <w:spacing w:line="0" w:lineRule="atLeast"/>
                        <w:jc w:val="left"/>
                        <w:rPr>
                          <w:rFonts w:hint="default" w:ascii="HGPｺﾞｼｯｸM" w:hAnsi="HGPｺﾞｼｯｸM" w:eastAsia="HGPｺﾞｼｯｸM"/>
                          <w:sz w:val="16"/>
                        </w:rPr>
                      </w:pPr>
                      <w:r>
                        <w:rPr>
                          <w:rFonts w:hint="eastAsia" w:ascii="HGPｺﾞｼｯｸM" w:hAnsi="HGPｺﾞｼｯｸM" w:eastAsia="HGPｺﾞｼｯｸM"/>
                          <w:sz w:val="16"/>
                        </w:rPr>
                        <w:t>又は十分でないとき</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2" behindDoc="0" locked="0" layoutInCell="1" hidden="0" allowOverlap="1">
                <wp:simplePos x="0" y="0"/>
                <wp:positionH relativeFrom="column">
                  <wp:posOffset>2576830</wp:posOffset>
                </wp:positionH>
                <wp:positionV relativeFrom="paragraph">
                  <wp:posOffset>20955</wp:posOffset>
                </wp:positionV>
                <wp:extent cx="723900" cy="333375"/>
                <wp:effectExtent l="635" t="635" r="635" b="635"/>
                <wp:wrapNone/>
                <wp:docPr id="1062" name="角丸四角形 55"/>
                <a:graphic xmlns:a="http://schemas.openxmlformats.org/drawingml/2006/main">
                  <a:graphicData uri="http://schemas.microsoft.com/office/word/2010/wordprocessingShape">
                    <wps:wsp>
                      <wps:cNvPr id="1062" name="角丸四角形 55"/>
                      <wps:cNvSpPr/>
                      <wps:spPr>
                        <a:xfrm>
                          <a:off x="0" y="0"/>
                          <a:ext cx="723900" cy="333375"/>
                        </a:xfrm>
                        <a:prstGeom prst="roundRect">
                          <a:avLst/>
                        </a:prstGeom>
                        <a:noFill/>
                        <a:ln w="15875" cap="flat" cmpd="sng" algn="ctr">
                          <a:noFill/>
                          <a:prstDash val="solid"/>
                        </a:ln>
                        <a:effectLst/>
                      </wps:spPr>
                      <wps:txbx>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55" style="mso-wrap-distance-right:9pt;mso-wrap-distance-bottom:0pt;margin-top:1.65pt;mso-position-vertical-relative:text;mso-position-horizontal-relative:text;v-text-anchor:middle;position:absolute;height:26.25pt;mso-wrap-distance-top:0pt;width:57pt;mso-wrap-distance-left:9pt;margin-left:202.9pt;z-index:42;" o:spid="_x0000_s1062" o:allowincell="t" o:allowoverlap="t" filled="f" stroked="f" strokeweight="1.25pt" o:spt="2" arcsize="10923f">
                <v:fill/>
                <v:stroke linestyle="single" endcap="flat" dashstyle="solid"/>
                <v:textbox style="layout-flow:horizontal;">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mc:AlternateContent>
          <mc:Choice Requires="wps">
            <w:drawing>
              <wp:anchor distT="0" distB="0" distL="114300" distR="114300" simplePos="0" relativeHeight="26" behindDoc="0" locked="0" layoutInCell="1" hidden="0" allowOverlap="1">
                <wp:simplePos x="0" y="0"/>
                <wp:positionH relativeFrom="column">
                  <wp:posOffset>641985</wp:posOffset>
                </wp:positionH>
                <wp:positionV relativeFrom="paragraph">
                  <wp:posOffset>13970</wp:posOffset>
                </wp:positionV>
                <wp:extent cx="161925" cy="180975"/>
                <wp:effectExtent l="635" t="635" r="29845" b="10795"/>
                <wp:wrapNone/>
                <wp:docPr id="1063" name="下矢印 52"/>
                <a:graphic xmlns:a="http://schemas.openxmlformats.org/drawingml/2006/main">
                  <a:graphicData uri="http://schemas.microsoft.com/office/word/2010/wordprocessingShape">
                    <wps:wsp>
                      <wps:cNvPr id="1063" name="下矢印 52"/>
                      <wps:cNvSpPr/>
                      <wps:spPr>
                        <a:xfrm>
                          <a:off x="0" y="0"/>
                          <a:ext cx="161925" cy="180975"/>
                        </a:xfrm>
                        <a:prstGeom prst="downArrow">
                          <a:avLst/>
                        </a:prstGeom>
                        <a:noFill/>
                        <a:ln w="15875" cap="flat" cmpd="sng" algn="ctr">
                          <a:solidFill>
                            <a:sysClr val="windowText" lastClr="000000"/>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 style="mso-wrap-distance-right:9pt;mso-wrap-distance-bottom:0pt;margin-top:1.1000000000000001pt;mso-position-vertical-relative:text;mso-position-horizontal-relative:text;position:absolute;height:14.25pt;mso-wrap-distance-top:0pt;width:12.75pt;mso-wrap-distance-left:9pt;margin-left:50.55pt;z-index:26;" o:spid="_x0000_s1063" o:allowincell="t" o:allowoverlap="t" filled="f" stroked="t" strokecolor="#000000" strokeweight="1.25pt" o:spt="67" type="#_x0000_t67" adj="10800,54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36" behindDoc="0" locked="0" layoutInCell="1" hidden="0" allowOverlap="1">
                <wp:simplePos x="0" y="0"/>
                <wp:positionH relativeFrom="column">
                  <wp:posOffset>4142105</wp:posOffset>
                </wp:positionH>
                <wp:positionV relativeFrom="paragraph">
                  <wp:posOffset>170815</wp:posOffset>
                </wp:positionV>
                <wp:extent cx="1095375" cy="590550"/>
                <wp:effectExtent l="635" t="635" r="29845" b="10795"/>
                <wp:wrapNone/>
                <wp:docPr id="1064" name="角丸四角形 20"/>
                <a:graphic xmlns:a="http://schemas.openxmlformats.org/drawingml/2006/main">
                  <a:graphicData uri="http://schemas.microsoft.com/office/word/2010/wordprocessingShape">
                    <wps:wsp>
                      <wps:cNvPr id="1064" name="角丸四角形 20"/>
                      <wps:cNvSpPr/>
                      <wps:spPr>
                        <a:xfrm>
                          <a:off x="0" y="0"/>
                          <a:ext cx="1095375" cy="590550"/>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略式代執行</w:t>
                            </w:r>
                          </w:p>
                          <w:p>
                            <w:pPr>
                              <w:pStyle w:val="0"/>
                              <w:jc w:val="center"/>
                              <w:rPr>
                                <w:rFonts w:hint="default" w:ascii="HGPｺﾞｼｯｸM" w:hAnsi="HGPｺﾞｼｯｸM" w:eastAsia="HGPｺﾞｼｯｸM"/>
                              </w:rPr>
                            </w:pPr>
                            <w:r>
                              <w:rPr>
                                <w:rFonts w:hint="eastAsia" w:ascii="HGPｺﾞｼｯｸM" w:hAnsi="HGPｺﾞｼｯｸM" w:eastAsia="HGPｺﾞｼｯｸM"/>
                              </w:rPr>
                              <w:t>（法</w:t>
                            </w:r>
                            <w:r>
                              <w:rPr>
                                <w:rFonts w:hint="eastAsia" w:ascii="HGPｺﾞｼｯｸM" w:hAnsi="HGPｺﾞｼｯｸM" w:eastAsia="HGPｺﾞｼｯｸM"/>
                              </w:rPr>
                              <w:t>14-</w:t>
                            </w:r>
                            <w:r>
                              <w:rPr>
                                <w:rFonts w:hint="eastAsia" w:ascii="HGPｺﾞｼｯｸM" w:hAnsi="HGPｺﾞｼｯｸM" w:eastAsia="HGPｺﾞｼｯｸM"/>
                              </w:rPr>
                              <w:t>⑩）</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20" style="mso-wrap-distance-right:9pt;mso-wrap-distance-bottom:0pt;margin-top:13.45pt;mso-position-vertical-relative:text;mso-position-horizontal-relative:text;v-text-anchor:middle;position:absolute;height:46.5pt;mso-wrap-distance-top:0pt;width:86.25pt;mso-wrap-distance-left:9pt;margin-left:326.14pt;z-index:36;" o:spid="_x0000_s1064"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略式代執行</w:t>
                      </w:r>
                    </w:p>
                    <w:p>
                      <w:pPr>
                        <w:pStyle w:val="0"/>
                        <w:jc w:val="center"/>
                        <w:rPr>
                          <w:rFonts w:hint="default" w:ascii="HGPｺﾞｼｯｸM" w:hAnsi="HGPｺﾞｼｯｸM" w:eastAsia="HGPｺﾞｼｯｸM"/>
                        </w:rPr>
                      </w:pPr>
                      <w:r>
                        <w:rPr>
                          <w:rFonts w:hint="eastAsia" w:ascii="HGPｺﾞｼｯｸM" w:hAnsi="HGPｺﾞｼｯｸM" w:eastAsia="HGPｺﾞｼｯｸM"/>
                        </w:rPr>
                        <w:t>（法</w:t>
                      </w:r>
                      <w:r>
                        <w:rPr>
                          <w:rFonts w:hint="eastAsia" w:ascii="HGPｺﾞｼｯｸM" w:hAnsi="HGPｺﾞｼｯｸM" w:eastAsia="HGPｺﾞｼｯｸM"/>
                        </w:rPr>
                        <w:t>14-</w:t>
                      </w:r>
                      <w:r>
                        <w:rPr>
                          <w:rFonts w:hint="eastAsia" w:ascii="HGPｺﾞｼｯｸM" w:hAnsi="HGPｺﾞｼｯｸM" w:eastAsia="HGPｺﾞｼｯｸM"/>
                        </w:rPr>
                        <w:t>⑩）</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96520</wp:posOffset>
                </wp:positionH>
                <wp:positionV relativeFrom="paragraph">
                  <wp:posOffset>32385</wp:posOffset>
                </wp:positionV>
                <wp:extent cx="2476500" cy="333375"/>
                <wp:effectExtent l="635" t="635" r="29845" b="10795"/>
                <wp:wrapNone/>
                <wp:docPr id="1065" name="角丸四角形 21"/>
                <a:graphic xmlns:a="http://schemas.openxmlformats.org/drawingml/2006/main">
                  <a:graphicData uri="http://schemas.microsoft.com/office/word/2010/wordprocessingShape">
                    <wps:wsp>
                      <wps:cNvPr id="1065" name="角丸四角形 21"/>
                      <wps:cNvSpPr/>
                      <wps:spPr>
                        <a:xfrm>
                          <a:off x="0" y="0"/>
                          <a:ext cx="2476500" cy="333375"/>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行政代執行（法</w:t>
                            </w:r>
                            <w:r>
                              <w:rPr>
                                <w:rFonts w:hint="eastAsia" w:ascii="HGPｺﾞｼｯｸM" w:hAnsi="HGPｺﾞｼｯｸM" w:eastAsia="HGPｺﾞｼｯｸM"/>
                              </w:rPr>
                              <w:t>14-</w:t>
                            </w:r>
                            <w:r>
                              <w:rPr>
                                <w:rFonts w:hint="eastAsia" w:ascii="HGPｺﾞｼｯｸM" w:hAnsi="HGPｺﾞｼｯｸM" w:eastAsia="HGPｺﾞｼｯｸM"/>
                              </w:rPr>
                              <w:t>⑨）</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21" style="mso-wrap-distance-right:9pt;mso-wrap-distance-bottom:0pt;margin-top:2.54pt;mso-position-vertical-relative:text;mso-position-horizontal-relative:text;v-text-anchor:middle;position:absolute;height:26.25pt;mso-wrap-distance-top:0pt;width:195pt;mso-wrap-distance-left:9pt;margin-left:7.6pt;z-index:10;" o:spid="_x0000_s1065"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行政代執行（法</w:t>
                      </w:r>
                      <w:r>
                        <w:rPr>
                          <w:rFonts w:hint="eastAsia" w:ascii="HGPｺﾞｼｯｸM" w:hAnsi="HGPｺﾞｼｯｸM" w:eastAsia="HGPｺﾞｼｯｸM"/>
                        </w:rPr>
                        <w:t>14-</w:t>
                      </w:r>
                      <w:r>
                        <w:rPr>
                          <w:rFonts w:hint="eastAsia" w:ascii="HGPｺﾞｼｯｸM" w:hAnsi="HGPｺﾞｼｯｸM" w:eastAsia="HGPｺﾞｼｯｸM"/>
                        </w:rPr>
                        <w:t>⑨）</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7" behindDoc="0" locked="0" layoutInCell="1" hidden="0" allowOverlap="1">
                <wp:simplePos x="0" y="0"/>
                <wp:positionH relativeFrom="column">
                  <wp:posOffset>2567305</wp:posOffset>
                </wp:positionH>
                <wp:positionV relativeFrom="paragraph">
                  <wp:posOffset>199390</wp:posOffset>
                </wp:positionV>
                <wp:extent cx="723900" cy="333375"/>
                <wp:effectExtent l="635" t="635" r="635" b="635"/>
                <wp:wrapNone/>
                <wp:docPr id="1066" name="角丸四角形 29"/>
                <a:graphic xmlns:a="http://schemas.openxmlformats.org/drawingml/2006/main">
                  <a:graphicData uri="http://schemas.microsoft.com/office/word/2010/wordprocessingShape">
                    <wps:wsp>
                      <wps:cNvPr id="1066" name="角丸四角形 29"/>
                      <wps:cNvSpPr/>
                      <wps:spPr>
                        <a:xfrm>
                          <a:off x="0" y="0"/>
                          <a:ext cx="723900" cy="333375"/>
                        </a:xfrm>
                        <a:prstGeom prst="roundRect">
                          <a:avLst/>
                        </a:prstGeom>
                        <a:noFill/>
                        <a:ln w="15875" cap="flat" cmpd="sng" algn="ctr">
                          <a:noFill/>
                          <a:prstDash val="solid"/>
                        </a:ln>
                        <a:effectLst/>
                      </wps:spPr>
                      <wps:txbx>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29" style="mso-wrap-distance-right:9pt;mso-wrap-distance-bottom:0pt;margin-top:15.7pt;mso-position-vertical-relative:text;mso-position-horizontal-relative:text;v-text-anchor:middle;position:absolute;height:26.25pt;mso-wrap-distance-top:0pt;width:57pt;mso-wrap-distance-left:9pt;margin-left:202.15pt;z-index:47;" o:spid="_x0000_s1066" o:allowincell="t" o:allowoverlap="t" filled="f" stroked="f" strokeweight="1.25pt" o:spt="2" arcsize="10923f">
                <v:fill/>
                <v:stroke linestyle="single" endcap="flat" dashstyle="solid"/>
                <v:textbox style="layout-flow:horizontal;">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6" behindDoc="0" locked="0" layoutInCell="1" hidden="0" allowOverlap="1">
                <wp:simplePos x="0" y="0"/>
                <wp:positionH relativeFrom="column">
                  <wp:posOffset>2748280</wp:posOffset>
                </wp:positionH>
                <wp:positionV relativeFrom="paragraph">
                  <wp:posOffset>88265</wp:posOffset>
                </wp:positionV>
                <wp:extent cx="266700" cy="190500"/>
                <wp:effectExtent l="635" t="635" r="29845" b="10795"/>
                <wp:wrapNone/>
                <wp:docPr id="1067" name="左右矢印 28"/>
                <a:graphic xmlns:a="http://schemas.openxmlformats.org/drawingml/2006/main">
                  <a:graphicData uri="http://schemas.microsoft.com/office/word/2010/wordprocessingShape">
                    <wps:wsp>
                      <wps:cNvPr id="1067" name="左右矢印 28"/>
                      <wps:cNvSpPr/>
                      <wps:spPr>
                        <a:xfrm>
                          <a:off x="0" y="0"/>
                          <a:ext cx="266700" cy="190500"/>
                        </a:xfrm>
                        <a:prstGeom prst="leftRightArrow">
                          <a:avLst/>
                        </a:prstGeom>
                        <a:noFill/>
                        <a:ln w="15875" cap="flat" cmpd="sng" algn="ctr">
                          <a:solidFill>
                            <a:sysClr val="windowText" lastClr="000000"/>
                          </a:solidFill>
                          <a:prstDash val="solid"/>
                        </a:ln>
                        <a:effectLst/>
                      </wps:spPr>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28" style="mso-wrap-distance-right:9pt;mso-wrap-distance-bottom:0pt;margin-top:6.95pt;mso-position-vertical-relative:text;mso-position-horizontal-relative:text;position:absolute;height:15pt;mso-wrap-distance-top:0pt;width:21pt;mso-wrap-distance-left:9pt;margin-left:216.4pt;z-index:46;" o:spid="_x0000_s1067" o:allowincell="t" o:allowoverlap="t" filled="f" stroked="t" strokecolor="#000000" strokeweight="1.25pt" o:spt="69" type="#_x0000_t69" adj="10800,5400">
                <v:fill/>
                <v:stroke linestyle="single"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114300" distR="114300" simplePos="0" relativeHeight="45" behindDoc="0" locked="0" layoutInCell="1" hidden="0" allowOverlap="1">
                <wp:simplePos x="0" y="0"/>
                <wp:positionH relativeFrom="column">
                  <wp:posOffset>3575050</wp:posOffset>
                </wp:positionH>
                <wp:positionV relativeFrom="paragraph">
                  <wp:posOffset>199390</wp:posOffset>
                </wp:positionV>
                <wp:extent cx="723900" cy="333375"/>
                <wp:effectExtent l="635" t="635" r="635" b="635"/>
                <wp:wrapNone/>
                <wp:docPr id="1068" name="角丸四角形 59"/>
                <a:graphic xmlns:a="http://schemas.openxmlformats.org/drawingml/2006/main">
                  <a:graphicData uri="http://schemas.microsoft.com/office/word/2010/wordprocessingShape">
                    <wps:wsp>
                      <wps:cNvPr id="1068" name="角丸四角形 59"/>
                      <wps:cNvSpPr/>
                      <wps:spPr>
                        <a:xfrm>
                          <a:off x="0" y="0"/>
                          <a:ext cx="723900" cy="333375"/>
                        </a:xfrm>
                        <a:prstGeom prst="roundRect">
                          <a:avLst/>
                        </a:prstGeom>
                        <a:noFill/>
                        <a:ln w="15875" cap="flat" cmpd="sng" algn="ctr">
                          <a:noFill/>
                          <a:prstDash val="solid"/>
                        </a:ln>
                        <a:effectLst/>
                      </wps:spPr>
                      <wps:txbx>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59" style="mso-wrap-distance-right:9pt;mso-wrap-distance-bottom:0pt;margin-top:15.7pt;mso-position-vertical-relative:text;mso-position-horizontal-relative:text;v-text-anchor:middle;position:absolute;height:26.25pt;mso-wrap-distance-top:0pt;width:57pt;mso-wrap-distance-left:9pt;margin-left:281.5pt;z-index:45;" o:spid="_x0000_s1068" o:allowincell="t" o:allowoverlap="t" filled="f" stroked="f" strokeweight="1.25pt" o:spt="2" arcsize="10923f">
                <v:fill/>
                <v:stroke linestyle="single" endcap="flat" dashstyle="solid"/>
                <v:textbox style="layout-flow:horizontal;">
                  <w:txbxContent>
                    <w:p>
                      <w:pPr>
                        <w:pStyle w:val="0"/>
                        <w:jc w:val="left"/>
                        <w:rPr>
                          <w:rFonts w:hint="default" w:ascii="HGPｺﾞｼｯｸM" w:hAnsi="HGPｺﾞｼｯｸM" w:eastAsia="HGPｺﾞｼｯｸM"/>
                          <w:sz w:val="16"/>
                        </w:rPr>
                      </w:pPr>
                      <w:r>
                        <w:rPr>
                          <w:rFonts w:hint="eastAsia" w:ascii="HGPｺﾞｼｯｸM" w:hAnsi="HGPｺﾞｼｯｸM" w:eastAsia="HGPｺﾞｼｯｸM"/>
                          <w:sz w:val="16"/>
                        </w:rPr>
                        <w:t>意見聴取</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1" behindDoc="0" locked="0" layoutInCell="1" hidden="0" allowOverlap="1">
                <wp:simplePos x="0" y="0"/>
                <wp:positionH relativeFrom="column">
                  <wp:posOffset>3777615</wp:posOffset>
                </wp:positionH>
                <wp:positionV relativeFrom="paragraph">
                  <wp:posOffset>88265</wp:posOffset>
                </wp:positionV>
                <wp:extent cx="266700" cy="190500"/>
                <wp:effectExtent l="635" t="635" r="29845" b="10795"/>
                <wp:wrapNone/>
                <wp:docPr id="1069" name="左右矢印 45"/>
                <a:graphic xmlns:a="http://schemas.openxmlformats.org/drawingml/2006/main">
                  <a:graphicData uri="http://schemas.microsoft.com/office/word/2010/wordprocessingShape">
                    <wps:wsp>
                      <wps:cNvPr id="1069" name="左右矢印 45"/>
                      <wps:cNvSpPr/>
                      <wps:spPr>
                        <a:xfrm>
                          <a:off x="0" y="0"/>
                          <a:ext cx="266700" cy="190500"/>
                        </a:xfrm>
                        <a:prstGeom prst="leftRightArrow">
                          <a:avLst/>
                        </a:prstGeom>
                        <a:noFill/>
                        <a:ln w="15875" cap="flat" cmpd="sng" algn="ctr">
                          <a:solidFill>
                            <a:sysClr val="windowText" lastClr="000000"/>
                          </a:solidFill>
                          <a:prstDash val="solid"/>
                        </a:ln>
                        <a:effectLst/>
                      </wps:spPr>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45" style="mso-wrap-distance-right:9pt;mso-wrap-distance-bottom:0pt;margin-top:6.95pt;mso-position-vertical-relative:text;mso-position-horizontal-relative:text;position:absolute;height:15pt;mso-wrap-distance-top:0pt;width:21pt;mso-wrap-distance-left:9pt;margin-left:297.45pt;z-index:41;" o:spid="_x0000_s1069" o:allowincell="t" o:allowoverlap="t" filled="f" stroked="t" strokecolor="#000000" strokeweight="1.25pt" o:spt="69" type="#_x0000_t69" adj="10800,5400">
                <v:fill/>
                <v:stroke linestyle="single" endcap="flat" dashstyle="solid" filltype="solid"/>
                <v:textbox style="layout-flow:horizontal;"/>
                <v:imagedata o:title=""/>
                <w10:wrap type="none" anchorx="text" anchory="text"/>
              </v:shape>
            </w:pict>
          </mc:Fallback>
        </mc:AlternateConten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mc:AlternateContent>
          <mc:Choice Requires="wps">
            <w:drawing>
              <wp:anchor distT="0" distB="0" distL="114300" distR="114300" simplePos="0" relativeHeight="27" behindDoc="0" locked="0" layoutInCell="1" hidden="0" allowOverlap="1">
                <wp:simplePos x="0" y="0"/>
                <wp:positionH relativeFrom="column">
                  <wp:posOffset>643890</wp:posOffset>
                </wp:positionH>
                <wp:positionV relativeFrom="paragraph">
                  <wp:posOffset>187325</wp:posOffset>
                </wp:positionV>
                <wp:extent cx="161925" cy="180975"/>
                <wp:effectExtent l="635" t="635" r="29845" b="10795"/>
                <wp:wrapNone/>
                <wp:docPr id="1070" name="下矢印 53"/>
                <a:graphic xmlns:a="http://schemas.openxmlformats.org/drawingml/2006/main">
                  <a:graphicData uri="http://schemas.microsoft.com/office/word/2010/wordprocessingShape">
                    <wps:wsp>
                      <wps:cNvPr id="1070" name="下矢印 53"/>
                      <wps:cNvSpPr/>
                      <wps:spPr>
                        <a:xfrm>
                          <a:off x="0" y="0"/>
                          <a:ext cx="161925" cy="180975"/>
                        </a:xfrm>
                        <a:prstGeom prst="downArrow">
                          <a:avLst/>
                        </a:prstGeom>
                        <a:noFill/>
                        <a:ln w="15875" cap="flat" cmpd="sng" algn="ctr">
                          <a:solidFill>
                            <a:sysClr val="windowText" lastClr="000000"/>
                          </a:solidFill>
                          <a:prstDash val="solid"/>
                        </a:ln>
                        <a:effectLst/>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3" style="mso-wrap-distance-right:9pt;mso-wrap-distance-bottom:0pt;margin-top:14.75pt;mso-position-vertical-relative:text;mso-position-horizontal-relative:text;position:absolute;height:14.25pt;mso-wrap-distance-top:0pt;width:12.75pt;mso-wrap-distance-left:9pt;margin-left:50.7pt;z-index:27;" o:spid="_x0000_s1070" o:allowincell="t" o:allowoverlap="t" filled="f" stroked="t" strokecolor="#000000" strokeweight="1.25pt" o:spt="67" type="#_x0000_t67" adj="10800,5400">
                <v:fill/>
                <v:stroke linestyle="single" endcap="flat" dashstyle="solid" filltype="solid"/>
                <v:textbox style="layout-flow:horizontal;"/>
                <v:imagedata o:title=""/>
                <w10:wrap type="none" anchorx="text" anchory="text"/>
              </v:shape>
            </w:pict>
          </mc:Fallback>
        </mc:AlternateContent>
      </w:r>
    </w:p>
    <w:p>
      <w:pPr>
        <w:pStyle w:val="0"/>
        <w:widowControl w:val="1"/>
        <w:jc w:val="left"/>
        <w:rPr>
          <w:rFonts w:hint="default" w:ascii="HGSｺﾞｼｯｸM" w:hAnsi="HGSｺﾞｼｯｸM" w:eastAsia="HGSｺﾞｼｯｸM"/>
          <w:color w:val="auto"/>
          <w:sz w:val="22"/>
        </w:rPr>
      </w:pPr>
      <w:r>
        <w:rPr>
          <w:rFonts w:hint="eastAsia"/>
        </w:rPr>
        <mc:AlternateContent>
          <mc:Choice Requires="wps">
            <w:drawing>
              <wp:anchor distT="0" distB="0" distL="114300" distR="114300" simplePos="0" relativeHeight="28" behindDoc="0" locked="0" layoutInCell="1" hidden="0" allowOverlap="1">
                <wp:simplePos x="0" y="0"/>
                <wp:positionH relativeFrom="column">
                  <wp:posOffset>96520</wp:posOffset>
                </wp:positionH>
                <wp:positionV relativeFrom="paragraph">
                  <wp:posOffset>195580</wp:posOffset>
                </wp:positionV>
                <wp:extent cx="2476500" cy="333375"/>
                <wp:effectExtent l="635" t="635" r="29845" b="10795"/>
                <wp:wrapNone/>
                <wp:docPr id="1071" name="角丸四角形 24"/>
                <a:graphic xmlns:a="http://schemas.openxmlformats.org/drawingml/2006/main">
                  <a:graphicData uri="http://schemas.microsoft.com/office/word/2010/wordprocessingShape">
                    <wps:wsp>
                      <wps:cNvPr id="1071" name="角丸四角形 24"/>
                      <wps:cNvSpPr/>
                      <wps:spPr>
                        <a:xfrm>
                          <a:off x="0" y="0"/>
                          <a:ext cx="2476500" cy="333375"/>
                        </a:xfrm>
                        <a:prstGeom prst="roundRect">
                          <a:avLst/>
                        </a:prstGeom>
                        <a:noFill/>
                        <a:ln w="15875" cap="flat" cmpd="sng" algn="ctr">
                          <a:solidFill>
                            <a:sysClr val="windowText" lastClr="000000"/>
                          </a:solidFill>
                          <a:prstDash val="solid"/>
                        </a:ln>
                        <a:effectLst/>
                      </wps:spPr>
                      <wps:txbx>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所有者等へ費用を請求</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24" style="mso-wrap-distance-right:9pt;mso-wrap-distance-bottom:0pt;margin-top:15.4pt;mso-position-vertical-relative:text;mso-position-horizontal-relative:text;v-text-anchor:middle;position:absolute;height:26.25pt;mso-wrap-distance-top:0pt;width:195pt;mso-wrap-distance-left:9pt;margin-left:7.6pt;z-index:28;" o:spid="_x0000_s1071" o:allowincell="t" o:allowoverlap="t" filled="f" stroked="t" strokecolor="#000000" strokeweight="1.25pt" o:spt="2" arcsize="10923f">
                <v:fill/>
                <v:stroke linestyle="single" endcap="flat" dashstyle="solid" filltype="solid"/>
                <v:textbox style="layout-flow:horizontal;">
                  <w:txbxContent>
                    <w:p>
                      <w:pPr>
                        <w:pStyle w:val="0"/>
                        <w:jc w:val="center"/>
                        <w:rPr>
                          <w:rFonts w:hint="default" w:ascii="HGPｺﾞｼｯｸM" w:hAnsi="HGPｺﾞｼｯｸM" w:eastAsia="HGPｺﾞｼｯｸM"/>
                        </w:rPr>
                      </w:pPr>
                      <w:r>
                        <w:rPr>
                          <w:rFonts w:hint="eastAsia" w:ascii="HGPｺﾞｼｯｸM" w:hAnsi="HGPｺﾞｼｯｸM" w:eastAsia="HGPｺﾞｼｯｸM"/>
                        </w:rPr>
                        <w:t>所有者等へ費用を請求</w:t>
                      </w:r>
                    </w:p>
                  </w:txbxContent>
                </v:textbox>
                <v:imagedata o:title=""/>
                <w10:wrap type="none" anchorx="text" anchory="text"/>
              </v:roundrect>
            </w:pict>
          </mc:Fallback>
        </mc:AlternateConten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bookmarkStart w:id="331" w:name="_Toc13670"/>
      <w:bookmarkEnd w:id="331"/>
      <w:bookmarkStart w:id="332" w:name="_Toc15834"/>
      <w:bookmarkEnd w:id="332"/>
      <w:bookmarkStart w:id="333" w:name="_Toc30929"/>
      <w:bookmarkEnd w:id="333"/>
      <w:bookmarkStart w:id="334" w:name="_Toc36047500"/>
      <w:bookmarkEnd w:id="334"/>
      <w:r>
        <w:rPr>
          <w:rFonts w:hint="eastAsia"/>
          <w:color w:val="auto"/>
        </w:rPr>
        <mc:AlternateContent>
          <mc:Choice Requires="wps">
            <w:drawing>
              <wp:anchor distT="0" distB="0" distL="203200" distR="203200" simplePos="0" relativeHeight="29" behindDoc="0" locked="0" layoutInCell="1" hidden="0" allowOverlap="1">
                <wp:simplePos x="0" y="0"/>
                <wp:positionH relativeFrom="column">
                  <wp:posOffset>2914015</wp:posOffset>
                </wp:positionH>
                <wp:positionV relativeFrom="paragraph">
                  <wp:posOffset>40005</wp:posOffset>
                </wp:positionV>
                <wp:extent cx="2482850" cy="742950"/>
                <wp:effectExtent l="635" t="635" r="29845" b="10795"/>
                <wp:wrapNone/>
                <wp:docPr id="1072" name="オブジェクト 0"/>
                <a:graphic xmlns:a="http://schemas.openxmlformats.org/drawingml/2006/main">
                  <a:graphicData uri="http://schemas.microsoft.com/office/word/2010/wordprocessingShape">
                    <wps:wsp>
                      <wps:cNvPr id="1072" name="オブジェクト 0"/>
                      <wps:cNvSpPr txBox="1"/>
                      <wps:spPr>
                        <a:xfrm>
                          <a:off x="0" y="0"/>
                          <a:ext cx="2482850" cy="742950"/>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0" w:lineRule="atLeast"/>
                              <w:rPr>
                                <w:rFonts w:hint="eastAsia" w:ascii="HGPｺﾞｼｯｸM" w:hAnsi="HGPｺﾞｼｯｸM" w:eastAsia="HGPｺﾞｼｯｸM"/>
                              </w:rPr>
                            </w:pPr>
                            <w:r>
                              <w:rPr>
                                <w:rFonts w:hint="eastAsia" w:ascii="HGPｺﾞｼｯｸM" w:hAnsi="HGPｺﾞｼｯｸM" w:eastAsia="HGPｺﾞｼｯｸM"/>
                              </w:rPr>
                              <w:t>※命令・行政代執行、略式代執行については、不利益処分であるため、客観性、公平性及び妥当性があるかどうかを判断し、慎重に行うものとします。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15pt;mso-position-vertical-relative:text;mso-position-horizontal-relative:text;position:absolute;height:58.5pt;mso-wrap-distance-top:0pt;width:195.5pt;mso-wrap-distance-left:16pt;margin-left:229.45pt;z-index:29;" o:spid="_x0000_s1072"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spacing w:line="0" w:lineRule="atLeast"/>
                        <w:rPr>
                          <w:rFonts w:hint="eastAsia" w:ascii="HGPｺﾞｼｯｸM" w:hAnsi="HGPｺﾞｼｯｸM" w:eastAsia="HGPｺﾞｼｯｸM"/>
                        </w:rPr>
                      </w:pPr>
                      <w:r>
                        <w:rPr>
                          <w:rFonts w:hint="eastAsia" w:ascii="HGPｺﾞｼｯｸM" w:hAnsi="HGPｺﾞｼｯｸM" w:eastAsia="HGPｺﾞｼｯｸM"/>
                        </w:rPr>
                        <w:t>※命令・行政代執行、略式代執行については、不利益処分であるため、客観性、公平性及び妥当性があるかどうかを判断し、慎重に行うものとします。</w:t>
                      </w:r>
                    </w:p>
                  </w:txbxContent>
                </v:textbox>
                <v:imagedata o:title=""/>
                <w10:wrap type="none" anchorx="text" anchory="text"/>
              </v:shape>
            </w:pict>
          </mc:Fallback>
        </mc:AlternateConten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default" w:ascii="HGSｺﾞｼｯｸM" w:hAnsi="HGSｺﾞｼｯｸM" w:eastAsia="HGSｺﾞｼｯｸM"/>
          <w:color w:val="auto"/>
          <w:sz w:val="22"/>
        </w:rPr>
        <w:br w:type="page"/>
      </w:r>
    </w:p>
    <w:p>
      <w:pPr>
        <w:pStyle w:val="1"/>
        <w:rPr>
          <w:rFonts w:hint="default" w:ascii="HGSｺﾞｼｯｸM" w:hAnsi="HGSｺﾞｼｯｸM" w:eastAsia="HGSｺﾞｼｯｸM"/>
          <w:color w:val="auto"/>
          <w:sz w:val="28"/>
          <w:u w:val="thick" w:color="auto"/>
        </w:rPr>
      </w:pPr>
      <w:bookmarkStart w:id="335" w:name="_Toc10926"/>
      <w:bookmarkEnd w:id="335"/>
      <w:bookmarkStart w:id="336" w:name="_Toc4726"/>
      <w:bookmarkStart w:id="337" w:name="_Toc11045"/>
      <w:bookmarkStart w:id="338" w:name="_Toc12040"/>
      <w:bookmarkStart w:id="339" w:name="_Toc13931"/>
      <w:bookmarkStart w:id="340" w:name="_Toc21761"/>
      <w:bookmarkStart w:id="341" w:name="_Toc2396"/>
      <w:bookmarkStart w:id="342" w:name="_Toc25358"/>
      <w:bookmarkStart w:id="343" w:name="_Toc26915"/>
      <w:bookmarkStart w:id="344" w:name="_Toc28108"/>
      <w:bookmarkStart w:id="345" w:name="_Toc28585"/>
      <w:bookmarkStart w:id="346" w:name="_Toc32030"/>
      <w:bookmarkStart w:id="347" w:name="_Toc3225"/>
      <w:bookmarkStart w:id="348" w:name="_Toc3524"/>
      <w:r>
        <w:rPr>
          <w:rFonts w:hint="eastAsia" w:ascii="HGSｺﾞｼｯｸM" w:hAnsi="HGSｺﾞｼｯｸM" w:eastAsia="HGSｺﾞｼｯｸM"/>
          <w:color w:val="auto"/>
          <w:sz w:val="28"/>
          <w:u w:val="thick" w:color="auto"/>
        </w:rPr>
        <w:t>９．市民等からの相談への対応</w:t>
      </w:r>
      <w:bookmarkEnd w:id="336"/>
      <w:r>
        <w:rPr>
          <w:rFonts w:hint="eastAsia" w:ascii="HGSｺﾞｼｯｸM" w:hAnsi="HGSｺﾞｼｯｸM" w:eastAsia="HGSｺﾞｼｯｸM"/>
          <w:color w:val="auto"/>
          <w:sz w:val="28"/>
          <w:u w:val="thick" w:color="auto"/>
        </w:rPr>
        <w:t>　　　　　　　　　</w:t>
      </w:r>
      <w:bookmarkStart w:id="349" w:name="_Toc17046"/>
      <w:bookmarkEnd w:id="349"/>
      <w:bookmarkStart w:id="350" w:name="_Toc24532"/>
      <w:bookmarkEnd w:id="350"/>
      <w:r>
        <w:rPr>
          <w:rFonts w:hint="eastAsia" w:ascii="HGSｺﾞｼｯｸM" w:hAnsi="HGSｺﾞｼｯｸM" w:eastAsia="HGSｺﾞｼｯｸM"/>
          <w:color w:val="auto"/>
          <w:sz w:val="28"/>
          <w:u w:val="thick" w:color="auto"/>
        </w:rPr>
        <w:t>　　　　　　　</w:t>
      </w:r>
      <w:bookmarkEnd w:id="337"/>
      <w:bookmarkEnd w:id="338"/>
      <w:bookmarkEnd w:id="339"/>
      <w:bookmarkEnd w:id="340"/>
      <w:bookmarkEnd w:id="341"/>
      <w:bookmarkEnd w:id="342"/>
      <w:bookmarkEnd w:id="343"/>
      <w:bookmarkEnd w:id="344"/>
      <w:bookmarkEnd w:id="345"/>
      <w:bookmarkEnd w:id="346"/>
      <w:bookmarkEnd w:id="347"/>
      <w:bookmarkEnd w:id="348"/>
    </w:p>
    <w:p>
      <w:pPr>
        <w:pStyle w:val="2"/>
        <w:rPr>
          <w:rFonts w:hint="default" w:ascii="HGSｺﾞｼｯｸM" w:hAnsi="HGSｺﾞｼｯｸM" w:eastAsia="HGSｺﾞｼｯｸM"/>
          <w:color w:val="auto"/>
          <w:sz w:val="24"/>
        </w:rPr>
      </w:pPr>
      <w:bookmarkStart w:id="351" w:name="_Toc12033"/>
      <w:bookmarkStart w:id="352" w:name="_Toc12712"/>
      <w:bookmarkStart w:id="353" w:name="_Toc13785"/>
      <w:bookmarkStart w:id="354" w:name="_Toc14126"/>
      <w:bookmarkStart w:id="355" w:name="_Toc14396"/>
      <w:bookmarkStart w:id="356" w:name="_Toc15714"/>
      <w:bookmarkStart w:id="357" w:name="_Toc15855"/>
      <w:bookmarkStart w:id="358" w:name="_Toc19067"/>
      <w:bookmarkStart w:id="359" w:name="_Toc21368"/>
      <w:bookmarkStart w:id="360" w:name="_Toc22185"/>
      <w:bookmarkStart w:id="361" w:name="_Toc26846"/>
      <w:bookmarkStart w:id="362" w:name="_Toc4401"/>
      <w:bookmarkStart w:id="363" w:name="_Toc4958"/>
      <w:bookmarkStart w:id="364" w:name="_Toc9139"/>
      <w:r>
        <w:rPr>
          <w:rFonts w:hint="eastAsia" w:ascii="HGSｺﾞｼｯｸM" w:hAnsi="HGSｺﾞｼｯｸM" w:eastAsia="HGSｺﾞｼｯｸM"/>
          <w:color w:val="auto"/>
          <w:sz w:val="24"/>
        </w:rPr>
        <w:t>（１）相談窓口</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空家等対策を実施していく中で起こり得る多岐にわたる相談に対応するため、次のとおり窓口を設置します。</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適切に管理されていない空家等に係る市民からの苦情等へについては、各行政区長を通じて情報提供や要望を受け付け、内容に応じて関係部署間で連携を図りながら適切に対応します。</w:t>
      </w:r>
    </w:p>
    <w:p>
      <w:pPr>
        <w:pStyle w:val="0"/>
        <w:widowControl w:val="1"/>
        <w:ind w:firstLine="220" w:firstLineChars="100"/>
        <w:jc w:val="left"/>
        <w:rPr>
          <w:rFonts w:hint="default" w:ascii="HGSｺﾞｼｯｸM" w:hAnsi="HGSｺﾞｼｯｸM" w:eastAsia="HGSｺﾞｼｯｸM"/>
          <w:color w:val="auto"/>
          <w:sz w:val="22"/>
        </w:rPr>
      </w:pP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◆空家等に関する区長要望の受付窓口</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地域振興部地域振興課</w:t>
      </w:r>
    </w:p>
    <w:p>
      <w:pPr>
        <w:pStyle w:val="0"/>
        <w:widowControl w:val="1"/>
        <w:ind w:firstLine="880" w:firstLineChars="4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電話　０７７１－６８－００１９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◆空き家バンク等利活用に関する相談窓口</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定住促進サポートセンター（日吉支所内）</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電話　０７７１－６８－１６１６</w:t>
      </w:r>
    </w:p>
    <w:p>
      <w:pPr>
        <w:pStyle w:val="0"/>
        <w:widowControl w:val="1"/>
        <w:jc w:val="left"/>
        <w:rPr>
          <w:rFonts w:hint="default" w:ascii="HGSｺﾞｼｯｸM" w:hAnsi="HGSｺﾞｼｯｸM" w:eastAsia="HGSｺﾞｼｯｸM"/>
          <w:color w:val="auto"/>
          <w:sz w:val="22"/>
        </w:rPr>
      </w:pP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市民等からの相談への対応については、行政運営の効率化や市民への行政サービスの向上を図るため、相談窓口の一元化、関係部署間での情報共有や一元管理を進め、総合的かつ計画的な対策を検討していきます。</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br w:type="page"/>
      </w:r>
    </w:p>
    <w:p>
      <w:pPr>
        <w:pStyle w:val="1"/>
        <w:rPr>
          <w:rFonts w:hint="default" w:ascii="HGSｺﾞｼｯｸM" w:hAnsi="HGSｺﾞｼｯｸM" w:eastAsia="HGSｺﾞｼｯｸM"/>
          <w:color w:val="auto"/>
          <w:sz w:val="28"/>
          <w:u w:val="thick" w:color="auto"/>
        </w:rPr>
      </w:pPr>
      <w:bookmarkStart w:id="365" w:name="_Toc5277"/>
      <w:bookmarkStart w:id="366" w:name="_Toc11269"/>
      <w:bookmarkStart w:id="367" w:name="_Toc13112"/>
      <w:bookmarkStart w:id="368" w:name="_Toc13569"/>
      <w:bookmarkStart w:id="369" w:name="_Toc14313"/>
      <w:bookmarkStart w:id="370" w:name="_Toc1498"/>
      <w:bookmarkStart w:id="371" w:name="_Toc18402"/>
      <w:bookmarkStart w:id="372" w:name="_Toc21375"/>
      <w:bookmarkStart w:id="373" w:name="_Toc30052"/>
      <w:bookmarkStart w:id="374" w:name="_Toc30227"/>
      <w:bookmarkStart w:id="375" w:name="_Toc32077"/>
      <w:bookmarkStart w:id="376" w:name="_Toc32433"/>
      <w:bookmarkStart w:id="377" w:name="_Toc6124"/>
      <w:bookmarkStart w:id="378" w:name="_Toc839"/>
      <w:r>
        <w:rPr>
          <w:rFonts w:hint="eastAsia" w:ascii="HGSｺﾞｼｯｸM" w:hAnsi="HGSｺﾞｼｯｸM" w:eastAsia="HGSｺﾞｼｯｸM"/>
          <w:color w:val="auto"/>
          <w:sz w:val="28"/>
          <w:u w:val="thick" w:color="auto"/>
        </w:rPr>
        <w:t>１０．空家等対策の実施体制</w:t>
      </w:r>
      <w:bookmarkEnd w:id="365"/>
      <w:r>
        <w:rPr>
          <w:rFonts w:hint="eastAsia" w:ascii="HGSｺﾞｼｯｸM" w:hAnsi="HGSｺﾞｼｯｸM" w:eastAsia="HGSｺﾞｼｯｸM"/>
          <w:color w:val="auto"/>
          <w:sz w:val="28"/>
          <w:u w:val="thick" w:color="auto"/>
        </w:rPr>
        <w:t>　　　　　　　　　　　　　　　　　</w:t>
      </w:r>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0"/>
        <w:widowControl w:val="1"/>
        <w:jc w:val="left"/>
        <w:rPr>
          <w:rFonts w:hint="default" w:ascii="HGSｺﾞｼｯｸM" w:hAnsi="HGSｺﾞｼｯｸM" w:eastAsia="HGSｺﾞｼｯｸM"/>
          <w:color w:val="auto"/>
          <w:sz w:val="24"/>
        </w:rPr>
      </w:pPr>
    </w:p>
    <w:p>
      <w:pPr>
        <w:pStyle w:val="2"/>
        <w:rPr>
          <w:rFonts w:hint="default" w:ascii="HGSｺﾞｼｯｸM" w:hAnsi="HGSｺﾞｼｯｸM" w:eastAsia="HGSｺﾞｼｯｸM"/>
          <w:color w:val="auto"/>
          <w:sz w:val="24"/>
        </w:rPr>
      </w:pPr>
      <w:bookmarkStart w:id="379" w:name="_Toc11285"/>
      <w:bookmarkStart w:id="380" w:name="_Toc12201"/>
      <w:bookmarkStart w:id="381" w:name="_Toc12595"/>
      <w:bookmarkStart w:id="382" w:name="_Toc12619"/>
      <w:bookmarkStart w:id="383" w:name="_Toc1391"/>
      <w:bookmarkStart w:id="384" w:name="_Toc15625"/>
      <w:bookmarkStart w:id="385" w:name="_Toc19729"/>
      <w:bookmarkStart w:id="386" w:name="_Toc20545"/>
      <w:bookmarkStart w:id="387" w:name="_Toc27440"/>
      <w:bookmarkStart w:id="388" w:name="_Toc31175"/>
      <w:bookmarkStart w:id="389" w:name="_Toc31641"/>
      <w:bookmarkStart w:id="390" w:name="_Toc5366"/>
      <w:r>
        <w:rPr>
          <w:rFonts w:hint="eastAsia" w:ascii="HGSｺﾞｼｯｸM" w:hAnsi="HGSｺﾞｼｯｸM" w:eastAsia="HGSｺﾞｼｯｸM"/>
          <w:color w:val="auto"/>
          <w:sz w:val="24"/>
        </w:rPr>
        <w:t>（１）庁内関係部署の役割分担</w:t>
      </w:r>
      <w:bookmarkEnd w:id="379"/>
      <w:bookmarkEnd w:id="380"/>
      <w:bookmarkEnd w:id="381"/>
      <w:bookmarkEnd w:id="382"/>
      <w:bookmarkEnd w:id="383"/>
      <w:bookmarkEnd w:id="384"/>
      <w:bookmarkEnd w:id="385"/>
      <w:bookmarkEnd w:id="386"/>
      <w:bookmarkEnd w:id="387"/>
      <w:bookmarkEnd w:id="388"/>
      <w:bookmarkEnd w:id="389"/>
      <w:bookmarkEnd w:id="390"/>
    </w:p>
    <w:p>
      <w:pPr>
        <w:pStyle w:val="0"/>
        <w:ind w:firstLine="220" w:firstLineChars="100"/>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空家等の対策は多岐にわたるため、事案に応じて関係部署間で連携を図りながら適切に対応します。</w:t>
      </w:r>
    </w:p>
    <w:tbl>
      <w:tblPr>
        <w:tblStyle w:val="35"/>
        <w:tblW w:w="7921" w:type="dxa"/>
        <w:tblInd w:w="534" w:type="dxa"/>
        <w:tblLayout w:type="fixed"/>
        <w:tblLook w:firstRow="1" w:lastRow="0" w:firstColumn="1" w:lastColumn="0" w:noHBand="0" w:noVBand="1" w:val="04A0"/>
      </w:tblPr>
      <w:tblGrid>
        <w:gridCol w:w="1441"/>
        <w:gridCol w:w="6480"/>
      </w:tblGrid>
      <w:tr>
        <w:trPr/>
        <w:tc>
          <w:tcPr>
            <w:tcW w:w="1441" w:type="dxa"/>
            <w:vAlign w:val="top"/>
          </w:tcPr>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部署名</w:t>
            </w:r>
          </w:p>
        </w:tc>
        <w:tc>
          <w:tcPr>
            <w:tcW w:w="6480" w:type="dxa"/>
            <w:vAlign w:val="top"/>
          </w:tcPr>
          <w:p>
            <w:pPr>
              <w:pStyle w:val="0"/>
              <w:widowControl w:val="1"/>
              <w:jc w:val="center"/>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役割（主な所管事項）</w:t>
            </w:r>
          </w:p>
        </w:tc>
      </w:tr>
      <w:tr>
        <w:trPr>
          <w:trHeight w:val="749" w:hRule="atLeast"/>
        </w:trPr>
        <w:tc>
          <w:tcPr>
            <w:tcW w:w="144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地域振興課</w:t>
            </w:r>
          </w:p>
        </w:tc>
        <w:tc>
          <w:tcPr>
            <w:tcW w:w="64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・区要望の受付</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・空き家バンク、定住促進への空家活用</w:t>
            </w:r>
          </w:p>
        </w:tc>
      </w:tr>
      <w:tr>
        <w:trPr>
          <w:trHeight w:val="3551" w:hRule="atLeast"/>
        </w:trPr>
        <w:tc>
          <w:tcPr>
            <w:tcW w:w="144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地域振興課</w:t>
            </w:r>
          </w:p>
          <w:p>
            <w:pPr>
              <w:pStyle w:val="0"/>
              <w:jc w:val="both"/>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環境課</w:t>
            </w:r>
          </w:p>
          <w:p>
            <w:pPr>
              <w:pStyle w:val="0"/>
              <w:jc w:val="both"/>
              <w:rPr>
                <w:rFonts w:hint="eastAsia"/>
                <w:color w:val="auto"/>
              </w:rPr>
            </w:pPr>
            <w:r>
              <w:rPr>
                <w:rFonts w:hint="eastAsia" w:ascii="HGSｺﾞｼｯｸM" w:hAnsi="HGSｺﾞｼｯｸM" w:eastAsia="HGSｺﾞｼｯｸM"/>
                <w:color w:val="auto"/>
                <w:sz w:val="22"/>
              </w:rPr>
              <w:t>営繕課</w:t>
            </w:r>
          </w:p>
        </w:tc>
        <w:tc>
          <w:tcPr>
            <w:tcW w:w="64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・現場確認、苦情相談対応等</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・区要望の回答</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・空き家の所有者調査、把握</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・空き家の所有者等への助言・指導（行政指導）</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・立入調査</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・特定空家の認定</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・法に基づく空家の所有者等への助言・指導、勧告、命令</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・代執行</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・被相続人居住用家屋等確認書の交付</w:t>
            </w:r>
          </w:p>
          <w:p>
            <w:pPr>
              <w:pStyle w:val="0"/>
              <w:widowControl w:val="1"/>
              <w:jc w:val="left"/>
              <w:rPr>
                <w:rFonts w:hint="eastAsia"/>
                <w:color w:val="auto"/>
              </w:rPr>
            </w:pPr>
            <w:r>
              <w:rPr>
                <w:rFonts w:hint="eastAsia" w:ascii="HGSｺﾞｼｯｸM" w:hAnsi="HGSｺﾞｼｯｸM" w:eastAsia="HGSｺﾞｼｯｸM"/>
                <w:color w:val="auto"/>
                <w:sz w:val="22"/>
              </w:rPr>
              <w:t>・空き家情報システムの管理</w:t>
            </w:r>
          </w:p>
          <w:p>
            <w:pPr>
              <w:pStyle w:val="0"/>
              <w:widowControl w:val="1"/>
              <w:jc w:val="left"/>
              <w:rPr>
                <w:rFonts w:hint="eastAsia"/>
                <w:color w:val="auto"/>
              </w:rPr>
            </w:pPr>
            <w:r>
              <w:rPr>
                <w:rFonts w:hint="eastAsia" w:ascii="HGSｺﾞｼｯｸM" w:hAnsi="HGSｺﾞｼｯｸM" w:eastAsia="HGSｺﾞｼｯｸM"/>
                <w:color w:val="auto"/>
                <w:sz w:val="22"/>
              </w:rPr>
              <w:t>・空家等対策計画の管理、改正</w:t>
            </w:r>
          </w:p>
        </w:tc>
      </w:tr>
    </w:tbl>
    <w:p>
      <w:pPr>
        <w:pStyle w:val="0"/>
        <w:widowControl w:val="1"/>
        <w:jc w:val="left"/>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4"/>
        </w:rPr>
      </w:pPr>
      <w:bookmarkStart w:id="391" w:name="_Toc14580"/>
      <w:bookmarkEnd w:id="391"/>
      <w:bookmarkStart w:id="392" w:name="_Toc15233"/>
      <w:bookmarkEnd w:id="392"/>
      <w:bookmarkStart w:id="393" w:name="_Toc18454"/>
      <w:bookmarkEnd w:id="393"/>
      <w:bookmarkStart w:id="394" w:name="_Toc19229"/>
      <w:bookmarkEnd w:id="394"/>
      <w:bookmarkStart w:id="395" w:name="_Toc19426"/>
      <w:bookmarkEnd w:id="395"/>
      <w:bookmarkStart w:id="396" w:name="_Toc20604"/>
      <w:bookmarkEnd w:id="396"/>
      <w:bookmarkStart w:id="397" w:name="_Toc23258"/>
      <w:bookmarkEnd w:id="397"/>
      <w:bookmarkStart w:id="398" w:name="_Toc23740"/>
      <w:bookmarkEnd w:id="398"/>
      <w:bookmarkStart w:id="399" w:name="_Toc31254"/>
      <w:bookmarkEnd w:id="399"/>
      <w:bookmarkStart w:id="400" w:name="_Toc32320"/>
      <w:bookmarkEnd w:id="400"/>
      <w:bookmarkStart w:id="401" w:name="_Toc5519"/>
      <w:bookmarkEnd w:id="401"/>
      <w:bookmarkStart w:id="402" w:name="_Toc8203"/>
      <w:bookmarkEnd w:id="402"/>
      <w:bookmarkStart w:id="403" w:name="_Toc11718"/>
      <w:bookmarkStart w:id="404" w:name="_Toc10031"/>
      <w:bookmarkStart w:id="405" w:name="_Toc1330"/>
      <w:bookmarkStart w:id="406" w:name="_Toc14925"/>
      <w:bookmarkStart w:id="407" w:name="_Toc19116"/>
      <w:bookmarkStart w:id="408" w:name="_Toc23877"/>
      <w:bookmarkStart w:id="409" w:name="_Toc24424"/>
      <w:bookmarkStart w:id="410" w:name="_Toc2679"/>
      <w:bookmarkStart w:id="411" w:name="_Toc28493"/>
      <w:bookmarkStart w:id="412" w:name="_Toc31160"/>
      <w:bookmarkStart w:id="413" w:name="_Toc32481"/>
      <w:bookmarkStart w:id="414" w:name="_Toc36047472"/>
      <w:bookmarkStart w:id="415" w:name="_Toc5729"/>
      <w:bookmarkStart w:id="416" w:name="_Toc8287"/>
      <w:r>
        <w:rPr>
          <w:rFonts w:hint="eastAsia" w:ascii="HGSｺﾞｼｯｸM" w:hAnsi="HGSｺﾞｼｯｸM" w:eastAsia="HGSｺﾞｼｯｸM"/>
          <w:color w:val="auto"/>
          <w:sz w:val="24"/>
        </w:rPr>
        <w:t>（２）審議会等の設置</w:t>
      </w:r>
      <w:bookmarkEnd w:id="403"/>
    </w:p>
    <w:p>
      <w:pPr>
        <w:pStyle w:val="0"/>
        <w:ind w:firstLine="220" w:firstLineChars="100"/>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特定空家等に対する措置を適切に行うには、法務や建築に関する専門的な知見も踏まえた判断が必要と考えられるため、有識者による審議会等の設置を検討します。</w:t>
      </w:r>
    </w:p>
    <w:p>
      <w:pPr>
        <w:pStyle w:val="0"/>
        <w:ind w:leftChars="0" w:firstLine="0" w:firstLineChars="0"/>
        <w:rPr>
          <w:rFonts w:hint="default" w:ascii="HGSｺﾞｼｯｸM" w:hAnsi="HGSｺﾞｼｯｸM" w:eastAsia="HGSｺﾞｼｯｸM"/>
          <w:color w:val="auto"/>
          <w:sz w:val="22"/>
        </w:rPr>
      </w:pPr>
    </w:p>
    <w:p>
      <w:pPr>
        <w:pStyle w:val="2"/>
        <w:rPr>
          <w:rFonts w:hint="default" w:ascii="HGSｺﾞｼｯｸM" w:hAnsi="HGSｺﾞｼｯｸM" w:eastAsia="HGSｺﾞｼｯｸM"/>
          <w:color w:val="auto"/>
          <w:sz w:val="24"/>
        </w:rPr>
      </w:pPr>
      <w:r>
        <w:rPr>
          <w:rFonts w:hint="eastAsia" w:ascii="HGSｺﾞｼｯｸM" w:hAnsi="HGSｺﾞｼｯｸM" w:eastAsia="HGSｺﾞｼｯｸM"/>
          <w:color w:val="auto"/>
          <w:sz w:val="24"/>
        </w:rPr>
        <w:t>（３）関係機関等との連携</w:t>
      </w:r>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0"/>
        <w:ind w:firstLine="220" w:firstLineChars="100"/>
        <w:rPr>
          <w:rFonts w:hint="default" w:ascii="HGSｺﾞｼｯｸM" w:hAnsi="HGSｺﾞｼｯｸM" w:eastAsia="HGSｺﾞｼｯｸM"/>
          <w:color w:val="auto"/>
          <w:sz w:val="28"/>
          <w:u w:val="thick" w:color="auto"/>
        </w:rPr>
      </w:pPr>
      <w:r>
        <w:rPr>
          <w:rFonts w:hint="eastAsia" w:ascii="HGSｺﾞｼｯｸM" w:hAnsi="HGSｺﾞｼｯｸM" w:eastAsia="HGSｺﾞｼｯｸM"/>
          <w:color w:val="auto"/>
          <w:sz w:val="22"/>
        </w:rPr>
        <w:t>空家等に関する相談に適切に対応するため、関係機関、民間団体等との連携及び協力のもと空家対策を実施します。</w:t>
      </w:r>
      <w:bookmarkStart w:id="417" w:name="_Toc12233"/>
      <w:bookmarkEnd w:id="417"/>
      <w:bookmarkStart w:id="418" w:name="_Toc13887"/>
      <w:bookmarkEnd w:id="418"/>
      <w:bookmarkStart w:id="419" w:name="_Toc14311"/>
      <w:bookmarkEnd w:id="419"/>
      <w:bookmarkStart w:id="420" w:name="_Toc1729"/>
      <w:bookmarkEnd w:id="420"/>
      <w:bookmarkStart w:id="421" w:name="_Toc2044"/>
      <w:bookmarkEnd w:id="421"/>
      <w:bookmarkStart w:id="422" w:name="_Toc23220"/>
      <w:bookmarkEnd w:id="422"/>
      <w:bookmarkStart w:id="423" w:name="_Toc24161"/>
      <w:bookmarkEnd w:id="423"/>
      <w:bookmarkStart w:id="424" w:name="_Toc24784"/>
      <w:bookmarkEnd w:id="424"/>
      <w:bookmarkStart w:id="425" w:name="_Toc26491"/>
      <w:bookmarkEnd w:id="425"/>
      <w:bookmarkStart w:id="426" w:name="_Toc28423"/>
      <w:bookmarkEnd w:id="426"/>
      <w:bookmarkStart w:id="427" w:name="_Toc30455"/>
      <w:bookmarkEnd w:id="427"/>
      <w:bookmarkStart w:id="428" w:name="_Toc36047465"/>
      <w:bookmarkEnd w:id="428"/>
      <w:bookmarkStart w:id="429" w:name="_Toc4915"/>
      <w:bookmarkEnd w:id="429"/>
      <w:bookmarkStart w:id="430" w:name="_Toc5521"/>
      <w:bookmarkEnd w:id="430"/>
      <w:bookmarkStart w:id="431" w:name="_Toc5741"/>
      <w:bookmarkEnd w:id="431"/>
      <w:bookmarkStart w:id="432" w:name="_Toc5809"/>
      <w:bookmarkEnd w:id="432"/>
      <w:bookmarkStart w:id="433" w:name="_Toc6052"/>
      <w:bookmarkEnd w:id="433"/>
      <w:bookmarkStart w:id="434" w:name="_Toc8073"/>
      <w:bookmarkEnd w:id="434"/>
      <w:bookmarkStart w:id="435" w:name="_Toc8191"/>
      <w:bookmarkEnd w:id="435"/>
      <w:bookmarkStart w:id="436" w:name="_Toc8213"/>
      <w:bookmarkEnd w:id="436"/>
      <w:bookmarkStart w:id="437" w:name="_Toc9173"/>
      <w:bookmarkEnd w:id="437"/>
      <w:bookmarkStart w:id="438" w:name="_Toc13004"/>
      <w:bookmarkStart w:id="439" w:name="_Toc1560"/>
      <w:bookmarkStart w:id="440" w:name="_Toc16793"/>
      <w:bookmarkStart w:id="441" w:name="_Toc23289"/>
      <w:bookmarkStart w:id="442" w:name="_Toc27835"/>
      <w:bookmarkStart w:id="443" w:name="_Toc31844"/>
      <w:bookmarkStart w:id="444" w:name="_Toc6946"/>
      <w:bookmarkStart w:id="445" w:name="_Toc7707"/>
      <w:bookmarkStart w:id="446" w:name="_Toc5908"/>
      <w:bookmarkStart w:id="447" w:name="_Toc13291"/>
      <w:bookmarkStart w:id="448" w:name="_Toc19309"/>
      <w:bookmarkStart w:id="449" w:name="_Toc25782"/>
      <w:bookmarkStart w:id="450" w:name="_Toc286"/>
      <w:r>
        <w:rPr>
          <w:rFonts w:hint="eastAsia"/>
        </w:rPr>
        <w:br w:type="page"/>
      </w:r>
    </w:p>
    <w:p>
      <w:pPr>
        <w:pStyle w:val="1"/>
        <w:rPr>
          <w:rFonts w:hint="default" w:ascii="HGSｺﾞｼｯｸM" w:hAnsi="HGSｺﾞｼｯｸM" w:eastAsia="HGSｺﾞｼｯｸM"/>
          <w:color w:val="auto"/>
          <w:sz w:val="28"/>
          <w:u w:val="thick" w:color="auto"/>
        </w:rPr>
      </w:pPr>
      <w:bookmarkStart w:id="451" w:name="_Toc12143"/>
      <w:r>
        <w:rPr>
          <w:rFonts w:hint="eastAsia" w:ascii="HGSｺﾞｼｯｸM" w:hAnsi="HGSｺﾞｼｯｸM" w:eastAsia="HGSｺﾞｼｯｸM"/>
          <w:color w:val="auto"/>
          <w:sz w:val="28"/>
          <w:u w:val="thick" w:color="auto"/>
        </w:rPr>
        <w:t>資料　　　　　　　　　　　　　　　　　　　　　　　</w:t>
      </w:r>
      <w:r>
        <w:rPr>
          <w:rFonts w:hint="eastAsia" w:ascii="HGSｺﾞｼｯｸM" w:hAnsi="HGSｺﾞｼｯｸM" w:eastAsia="HGSｺﾞｼｯｸM"/>
          <w:color w:val="auto"/>
          <w:sz w:val="28"/>
          <w:u w:val="thick" w:color="auto"/>
        </w:rPr>
        <w:t xml:space="preserve">    </w:t>
      </w:r>
      <w:r>
        <w:rPr>
          <w:rFonts w:hint="eastAsia" w:ascii="HGSｺﾞｼｯｸM" w:hAnsi="HGSｺﾞｼｯｸM" w:eastAsia="HGSｺﾞｼｯｸM"/>
          <w:color w:val="auto"/>
          <w:sz w:val="28"/>
          <w:u w:val="thick" w:color="auto"/>
        </w:rPr>
        <w:t>　　　</w:t>
      </w:r>
      <w:bookmarkEnd w:id="451"/>
      <w:bookmarkEnd w:id="438"/>
      <w:bookmarkEnd w:id="439"/>
      <w:bookmarkEnd w:id="440"/>
      <w:bookmarkEnd w:id="441"/>
      <w:bookmarkEnd w:id="442"/>
      <w:bookmarkEnd w:id="443"/>
      <w:bookmarkEnd w:id="444"/>
      <w:bookmarkEnd w:id="445"/>
    </w:p>
    <w:p>
      <w:pPr>
        <w:pStyle w:val="2"/>
        <w:rPr>
          <w:rFonts w:hint="default" w:ascii="HGSｺﾞｼｯｸM" w:hAnsi="HGSｺﾞｼｯｸM" w:eastAsia="HGSｺﾞｼｯｸM"/>
          <w:color w:val="auto"/>
          <w:sz w:val="24"/>
        </w:rPr>
      </w:pPr>
      <w:bookmarkStart w:id="452" w:name="_Toc13441"/>
      <w:bookmarkStart w:id="453" w:name="_Toc14328"/>
      <w:bookmarkStart w:id="454" w:name="_Toc14917"/>
      <w:bookmarkStart w:id="455" w:name="_Toc18971"/>
      <w:bookmarkStart w:id="456" w:name="_Toc19311"/>
      <w:bookmarkStart w:id="457" w:name="_Toc2497"/>
      <w:bookmarkStart w:id="458" w:name="_Toc27475"/>
      <w:bookmarkStart w:id="459" w:name="_Toc31037"/>
      <w:bookmarkStart w:id="460" w:name="_Toc588"/>
      <w:r>
        <w:rPr>
          <w:rFonts w:hint="eastAsia" w:ascii="HGSｺﾞｼｯｸM" w:hAnsi="HGSｺﾞｼｯｸM" w:eastAsia="HGSｺﾞｼｯｸM"/>
          <w:color w:val="auto"/>
          <w:sz w:val="24"/>
        </w:rPr>
        <w:t>空家等の活用を促進する取り組み</w:t>
      </w:r>
      <w:bookmarkEnd w:id="452"/>
      <w:bookmarkEnd w:id="453"/>
      <w:bookmarkEnd w:id="454"/>
      <w:bookmarkEnd w:id="455"/>
      <w:bookmarkEnd w:id="456"/>
      <w:bookmarkEnd w:id="457"/>
      <w:bookmarkEnd w:id="458"/>
      <w:bookmarkEnd w:id="459"/>
      <w:bookmarkEnd w:id="460"/>
    </w:p>
    <w:p>
      <w:pPr>
        <w:pStyle w:val="0"/>
        <w:widowControl w:val="1"/>
        <w:ind w:leftChars="0" w:firstLine="0" w:firstLineChars="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（南丹市定住ガイドブック「なんくら」から抜粋）</w:t>
      </w:r>
    </w:p>
    <w:p>
      <w:pPr>
        <w:pStyle w:val="2"/>
        <w:rPr>
          <w:rFonts w:hint="default" w:ascii="HGSｺﾞｼｯｸM" w:hAnsi="HGSｺﾞｼｯｸM" w:eastAsia="HGSｺﾞｼｯｸM"/>
          <w:color w:val="auto"/>
          <w:sz w:val="24"/>
        </w:rPr>
      </w:pPr>
    </w:p>
    <w:p>
      <w:pPr>
        <w:pStyle w:val="0"/>
        <w:rPr>
          <w:rFonts w:hint="default" w:ascii="HGSｺﾞｼｯｸM" w:hAnsi="HGSｺﾞｼｯｸM" w:eastAsia="HGSｺﾞｼｯｸM"/>
          <w:color w:val="auto"/>
          <w:sz w:val="24"/>
        </w:rPr>
      </w:pPr>
      <w:bookmarkStart w:id="461" w:name="_Toc10128"/>
      <w:bookmarkStart w:id="462" w:name="_Toc25418"/>
      <w:bookmarkStart w:id="463" w:name="_Toc29728"/>
      <w:bookmarkStart w:id="464" w:name="_Toc31919"/>
      <w:bookmarkStart w:id="465" w:name="_Toc7659"/>
      <w:r>
        <w:rPr>
          <w:rFonts w:hint="eastAsia" w:ascii="HGSｺﾞｼｯｸM" w:hAnsi="HGSｺﾞｼｯｸM" w:eastAsia="HGSｺﾞｼｯｸM"/>
          <w:color w:val="auto"/>
          <w:sz w:val="24"/>
        </w:rPr>
        <w:t>（１）移住希望者・空家所有者の相談窓口</w:t>
      </w:r>
      <w:bookmarkEnd w:id="461"/>
      <w:bookmarkEnd w:id="462"/>
      <w:bookmarkEnd w:id="463"/>
      <w:bookmarkEnd w:id="464"/>
      <w:bookmarkEnd w:id="465"/>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①南丹市定住促進サイト「</w:t>
      </w:r>
      <w:r>
        <w:rPr>
          <w:rFonts w:hint="eastAsia" w:ascii="HGSｺﾞｼｯｸM" w:hAnsi="HGSｺﾞｼｯｸM" w:eastAsia="HGSｺﾞｼｯｸM"/>
          <w:color w:val="auto"/>
          <w:sz w:val="22"/>
        </w:rPr>
        <w:t>nancla</w:t>
      </w:r>
      <w:r>
        <w:rPr>
          <w:rFonts w:hint="eastAsia" w:ascii="HGSｺﾞｼｯｸM" w:hAnsi="HGSｺﾞｼｯｸM" w:eastAsia="HGSｺﾞｼｯｸM"/>
          <w:color w:val="auto"/>
          <w:sz w:val="22"/>
        </w:rPr>
        <w:t>（なんくら）」</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南丹市の魅力や多彩なライフスタイルの情報など、移住希望者が知りたい情報が満載の南丹市公式定住促進サイトです。</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南丹市定住促進サイト「</w:t>
      </w:r>
      <w:r>
        <w:rPr>
          <w:rFonts w:hint="eastAsia" w:ascii="HGSｺﾞｼｯｸM" w:hAnsi="HGSｺﾞｼｯｸM" w:eastAsia="HGSｺﾞｼｯｸM"/>
          <w:color w:val="auto"/>
          <w:sz w:val="22"/>
        </w:rPr>
        <w:t>nancla</w:t>
      </w:r>
      <w:r>
        <w:rPr>
          <w:rFonts w:hint="eastAsia" w:ascii="HGSｺﾞｼｯｸM" w:hAnsi="HGSｺﾞｼｯｸM" w:eastAsia="HGSｺﾞｼｯｸM"/>
          <w:color w:val="auto"/>
          <w:sz w:val="22"/>
        </w:rPr>
        <w:t>（なんくら）」　</w:t>
      </w:r>
      <w:r>
        <w:rPr>
          <w:rFonts w:hint="eastAsia" w:ascii="HGSｺﾞｼｯｸM" w:hAnsi="HGSｺﾞｼｯｸM" w:eastAsia="HGSｺﾞｼｯｸM"/>
          <w:color w:val="auto"/>
          <w:sz w:val="22"/>
        </w:rPr>
        <w:t>URL</w:t>
      </w:r>
      <w:r>
        <w:rPr>
          <w:rFonts w:hint="eastAsia" w:ascii="HGSｺﾞｼｯｸM" w:hAnsi="HGSｺﾞｼｯｸM" w:eastAsia="HGSｺﾞｼｯｸM"/>
          <w:color w:val="auto"/>
          <w:sz w:val="22"/>
        </w:rPr>
        <w:t>：</w:t>
      </w:r>
      <w:r>
        <w:rPr>
          <w:rFonts w:hint="eastAsia"/>
        </w:rPr>
        <w:fldChar w:fldCharType="begin"/>
      </w:r>
      <w:r>
        <w:rPr>
          <w:rFonts w:hint="eastAsia"/>
        </w:rPr>
        <w:instrText xml:space="preserve"> HYPERLINK "http://www.nancla.jp/"</w:instrText>
      </w:r>
      <w:r>
        <w:rPr>
          <w:rFonts w:hint="eastAsia"/>
        </w:rPr>
        <w:fldChar w:fldCharType="separate"/>
      </w:r>
      <w:r>
        <w:rPr>
          <w:rStyle w:val="21"/>
          <w:rFonts w:hint="eastAsia" w:ascii="HGSｺﾞｼｯｸM" w:hAnsi="HGSｺﾞｼｯｸM" w:eastAsia="HGSｺﾞｼｯｸM"/>
          <w:color w:val="auto"/>
          <w:sz w:val="22"/>
        </w:rPr>
        <w:t>http://www.nancla.jp/</w:t>
      </w:r>
      <w:r>
        <w:rPr>
          <w:rFonts w:hint="eastAsia"/>
        </w:rPr>
        <w:fldChar w:fldCharType="end"/>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②南丹市定住促進サポートセンター</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移住希望者や空き家所有者からの相談対応、空き家バンク物件の紹介などを行っており、南丹市に住みたい方を地域につなぐ役割を担っています。</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南丹市定住促進サポートセンター</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w:t>
      </w:r>
      <w:r>
        <w:rPr>
          <w:rFonts w:hint="eastAsia" w:ascii="HGSｺﾞｼｯｸM" w:hAnsi="HGSｺﾞｼｯｸM" w:eastAsia="HGSｺﾞｼｯｸM"/>
          <w:color w:val="auto"/>
          <w:sz w:val="22"/>
        </w:rPr>
        <w:t>629-0398</w:t>
      </w:r>
      <w:r>
        <w:rPr>
          <w:rFonts w:hint="eastAsia" w:ascii="HGSｺﾞｼｯｸM" w:hAnsi="HGSｺﾞｼｯｸM" w:eastAsia="HGSｺﾞｼｯｸM"/>
          <w:color w:val="auto"/>
          <w:sz w:val="22"/>
        </w:rPr>
        <w:t>　京都府南丹市日吉町保野田市野</w:t>
      </w:r>
      <w:r>
        <w:rPr>
          <w:rFonts w:hint="eastAsia" w:ascii="HGSｺﾞｼｯｸM" w:hAnsi="HGSｺﾞｼｯｸM" w:eastAsia="HGSｺﾞｼｯｸM"/>
          <w:color w:val="auto"/>
          <w:sz w:val="22"/>
        </w:rPr>
        <w:t>3-1</w:t>
      </w: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電話：</w:t>
      </w:r>
      <w:r>
        <w:rPr>
          <w:rFonts w:hint="eastAsia" w:ascii="HGSｺﾞｼｯｸM" w:hAnsi="HGSｺﾞｼｯｸM" w:eastAsia="HGSｺﾞｼｯｸM"/>
          <w:color w:val="auto"/>
          <w:sz w:val="22"/>
        </w:rPr>
        <w:t xml:space="preserve">0771-68-1616 </w:t>
      </w:r>
      <w:r>
        <w:rPr>
          <w:rFonts w:hint="eastAsia" w:ascii="HGSｺﾞｼｯｸM" w:hAnsi="HGSｺﾞｼｯｸM" w:eastAsia="HGSｺﾞｼｯｸM"/>
          <w:color w:val="auto"/>
          <w:sz w:val="22"/>
        </w:rPr>
        <w:t>　</w:t>
      </w:r>
      <w:r>
        <w:rPr>
          <w:rFonts w:hint="eastAsia" w:ascii="HGSｺﾞｼｯｸM" w:hAnsi="HGSｺﾞｼｯｸM" w:eastAsia="HGSｺﾞｼｯｸM"/>
          <w:color w:val="auto"/>
          <w:sz w:val="22"/>
        </w:rPr>
        <w:t>FAX</w:t>
      </w:r>
      <w:r>
        <w:rPr>
          <w:rFonts w:hint="eastAsia" w:ascii="HGSｺﾞｼｯｸM" w:hAnsi="HGSｺﾞｼｯｸM" w:eastAsia="HGSｺﾞｼｯｸM"/>
          <w:color w:val="auto"/>
          <w:sz w:val="22"/>
        </w:rPr>
        <w:t>：</w:t>
      </w:r>
      <w:r>
        <w:rPr>
          <w:rFonts w:hint="eastAsia" w:ascii="HGSｺﾞｼｯｸM" w:hAnsi="HGSｺﾞｼｯｸM" w:eastAsia="HGSｺﾞｼｯｸM"/>
          <w:color w:val="auto"/>
          <w:sz w:val="22"/>
        </w:rPr>
        <w:t>0771-72-1005</w:t>
      </w:r>
    </w:p>
    <w:p>
      <w:pPr>
        <w:pStyle w:val="0"/>
        <w:autoSpaceDE w:val="0"/>
        <w:autoSpaceDN w:val="0"/>
        <w:adjustRightInd w:val="0"/>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　　メール：</w:t>
      </w:r>
      <w:r>
        <w:rPr>
          <w:rFonts w:hint="default" w:ascii="HGｺﾞｼｯｸM" w:hAnsi="HGｺﾞｼｯｸM" w:eastAsia="HGｺﾞｼｯｸM"/>
          <w:color w:val="auto"/>
          <w:sz w:val="23"/>
        </w:rPr>
        <w:t>chiiki@city.nantan.lg.jp</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③空き家バンク</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空き家を売りたい方や貸したい方から登録された空き家の情報を、ホームページなどで利用希望者に紹介します。</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南丹市定住促進サイト「</w:t>
      </w:r>
      <w:r>
        <w:rPr>
          <w:rFonts w:hint="eastAsia" w:ascii="HGSｺﾞｼｯｸM" w:hAnsi="HGSｺﾞｼｯｸM" w:eastAsia="HGSｺﾞｼｯｸM"/>
          <w:color w:val="auto"/>
          <w:sz w:val="22"/>
        </w:rPr>
        <w:t>nancla</w:t>
      </w:r>
      <w:r>
        <w:rPr>
          <w:rFonts w:hint="eastAsia" w:ascii="HGSｺﾞｼｯｸM" w:hAnsi="HGSｺﾞｼｯｸM" w:eastAsia="HGSｺﾞｼｯｸM"/>
          <w:color w:val="auto"/>
          <w:sz w:val="22"/>
        </w:rPr>
        <w:t>（なんくら）」　</w:t>
      </w:r>
      <w:r>
        <w:rPr>
          <w:rFonts w:hint="eastAsia" w:ascii="HGSｺﾞｼｯｸM" w:hAnsi="HGSｺﾞｼｯｸM" w:eastAsia="HGSｺﾞｼｯｸM"/>
          <w:color w:val="auto"/>
          <w:sz w:val="22"/>
        </w:rPr>
        <w:t>URL</w:t>
      </w:r>
      <w:r>
        <w:rPr>
          <w:rFonts w:hint="eastAsia" w:ascii="HGSｺﾞｼｯｸM" w:hAnsi="HGSｺﾞｼｯｸM" w:eastAsia="HGSｺﾞｼｯｸM"/>
          <w:color w:val="auto"/>
          <w:sz w:val="22"/>
        </w:rPr>
        <w:t>：</w:t>
      </w:r>
      <w:r>
        <w:rPr>
          <w:rFonts w:hint="eastAsia"/>
        </w:rPr>
        <w:fldChar w:fldCharType="begin"/>
      </w:r>
      <w:r>
        <w:rPr>
          <w:rFonts w:hint="eastAsia"/>
        </w:rPr>
        <w:instrText xml:space="preserve"> HYPERLINK "http://www.nancla.jp/"</w:instrText>
      </w:r>
      <w:r>
        <w:rPr>
          <w:rFonts w:hint="eastAsia"/>
        </w:rPr>
        <w:fldChar w:fldCharType="separate"/>
      </w:r>
      <w:r>
        <w:rPr>
          <w:rStyle w:val="21"/>
          <w:rFonts w:hint="eastAsia" w:ascii="HGSｺﾞｼｯｸM" w:hAnsi="HGSｺﾞｼｯｸM" w:eastAsia="HGSｺﾞｼｯｸM"/>
          <w:color w:val="auto"/>
          <w:sz w:val="22"/>
        </w:rPr>
        <w:t>http://www.nancla.jp/</w:t>
      </w:r>
      <w:r>
        <w:rPr>
          <w:rFonts w:hint="eastAsia"/>
        </w:rPr>
        <w:fldChar w:fldCharType="end"/>
      </w:r>
    </w:p>
    <w:p>
      <w:pPr>
        <w:pStyle w:val="0"/>
        <w:widowControl w:val="1"/>
        <w:jc w:val="left"/>
        <w:rPr>
          <w:rFonts w:hint="default" w:ascii="HGSｺﾞｼｯｸM" w:hAnsi="HGSｺﾞｼｯｸM" w:eastAsia="HGSｺﾞｼｯｸM"/>
          <w:color w:val="auto"/>
          <w:sz w:val="22"/>
        </w:rPr>
      </w:pPr>
    </w:p>
    <w:p>
      <w:pPr>
        <w:pStyle w:val="0"/>
        <w:rPr>
          <w:rFonts w:hint="default" w:ascii="HGSｺﾞｼｯｸM" w:hAnsi="HGSｺﾞｼｯｸM" w:eastAsia="HGSｺﾞｼｯｸM"/>
          <w:color w:val="auto"/>
          <w:sz w:val="24"/>
        </w:rPr>
      </w:pPr>
      <w:bookmarkStart w:id="466" w:name="_Toc132"/>
      <w:bookmarkStart w:id="467" w:name="_Toc19981"/>
      <w:bookmarkStart w:id="468" w:name="_Toc20082"/>
      <w:bookmarkStart w:id="469" w:name="_Toc25400"/>
      <w:bookmarkStart w:id="470" w:name="_Toc27823"/>
      <w:r>
        <w:rPr>
          <w:rFonts w:hint="eastAsia" w:ascii="HGSｺﾞｼｯｸM" w:hAnsi="HGSｺﾞｼｯｸM" w:eastAsia="HGSｺﾞｼｯｸM"/>
          <w:color w:val="auto"/>
          <w:sz w:val="24"/>
        </w:rPr>
        <w:t>（２）移住者への支援</w:t>
      </w:r>
      <w:bookmarkEnd w:id="466"/>
      <w:bookmarkEnd w:id="467"/>
      <w:bookmarkEnd w:id="468"/>
      <w:bookmarkEnd w:id="469"/>
      <w:bookmarkEnd w:id="470"/>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①移住促進（移住促進住宅整備）事業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移住促進特別区域（※</w:t>
      </w:r>
      <w:r>
        <w:rPr>
          <w:rFonts w:hint="eastAsia" w:ascii="HGSｺﾞｼｯｸM" w:hAnsi="HGSｺﾞｼｯｸM" w:eastAsia="HGSｺﾞｼｯｸM"/>
          <w:color w:val="auto"/>
          <w:sz w:val="22"/>
        </w:rPr>
        <w:t>22</w:t>
      </w:r>
      <w:r>
        <w:rPr>
          <w:rFonts w:hint="eastAsia" w:ascii="HGSｺﾞｼｯｸM" w:hAnsi="HGSｺﾞｼｯｸM" w:eastAsia="HGSｺﾞｼｯｸM"/>
          <w:color w:val="auto"/>
          <w:sz w:val="22"/>
        </w:rPr>
        <w:t>ﾍﾟｰｼﾞ）の空き家を活用し、移住者が居住するために必要な改修を行う場合、その改修費（居住部分に限る）を予算の範囲内で補助します。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②Ｕターン者住宅購入・新改築支援商品券交付事業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住宅の購入・新築・改築を伴い、本市にＵターンする子育て世帯に対して、南丹市商工会が発行する商品券を予算の範囲内で交付します。</w:t>
      </w:r>
    </w:p>
    <w:p>
      <w:pPr>
        <w:pStyle w:val="0"/>
        <w:widowControl w:val="1"/>
        <w:jc w:val="left"/>
        <w:rPr>
          <w:rFonts w:hint="default" w:ascii="HGSｺﾞｼｯｸM" w:hAnsi="HGSｺﾞｼｯｸM" w:eastAsia="HGSｺﾞｼｯｸM"/>
          <w:color w:val="auto"/>
          <w:sz w:val="22"/>
        </w:rPr>
      </w:pPr>
    </w:p>
    <w:p>
      <w:pPr>
        <w:pStyle w:val="0"/>
        <w:rPr>
          <w:rFonts w:hint="default" w:ascii="HGSｺﾞｼｯｸM" w:hAnsi="HGSｺﾞｼｯｸM" w:eastAsia="HGSｺﾞｼｯｸM"/>
          <w:color w:val="auto"/>
          <w:sz w:val="24"/>
        </w:rPr>
      </w:pPr>
      <w:bookmarkStart w:id="471" w:name="_Toc10252"/>
      <w:bookmarkStart w:id="472" w:name="_Toc24396"/>
      <w:bookmarkStart w:id="473" w:name="_Toc32725"/>
      <w:bookmarkStart w:id="474" w:name="_Toc7036"/>
      <w:bookmarkStart w:id="475" w:name="_Toc8346"/>
      <w:r>
        <w:rPr>
          <w:rFonts w:hint="eastAsia" w:ascii="HGSｺﾞｼｯｸM" w:hAnsi="HGSｺﾞｼｯｸM" w:eastAsia="HGSｺﾞｼｯｸM"/>
          <w:color w:val="auto"/>
          <w:sz w:val="24"/>
        </w:rPr>
        <w:t>（３）空き家所有者への支援</w:t>
      </w:r>
      <w:bookmarkEnd w:id="471"/>
      <w:bookmarkEnd w:id="472"/>
      <w:bookmarkEnd w:id="473"/>
      <w:bookmarkEnd w:id="474"/>
      <w:bookmarkEnd w:id="475"/>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①移住促進（空家流動化促進）事業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移住促進特別区域（※</w:t>
      </w:r>
      <w:r>
        <w:rPr>
          <w:rFonts w:hint="eastAsia" w:ascii="HGSｺﾞｼｯｸM" w:hAnsi="HGSｺﾞｼｯｸM" w:eastAsia="HGSｺﾞｼｯｸM"/>
          <w:color w:val="auto"/>
          <w:sz w:val="22"/>
        </w:rPr>
        <w:t>22</w:t>
      </w:r>
      <w:r>
        <w:rPr>
          <w:rFonts w:hint="eastAsia" w:ascii="HGSｺﾞｼｯｸM" w:hAnsi="HGSｺﾞｼｯｸM" w:eastAsia="HGSｺﾞｼｯｸM"/>
          <w:color w:val="auto"/>
          <w:sz w:val="22"/>
        </w:rPr>
        <w:t>ﾍﾟｰｼﾞ）の空き家について、所有者が移住者を居住させるために家財道具の撤去などを行う場合、その撤去費などを予算の範囲内で補助します。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②サテライトオフィス誘致事業者等支援（空き家等流動化対策）事業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空き家などについて、所有者が企業にサテライトオフィス（本社から離れた場所に設置する事業所）を展開させるために家財道具の撤去などを行う場合、その撤去費などを予算の範囲内で補助します。</w:t>
      </w:r>
    </w:p>
    <w:p>
      <w:pPr>
        <w:pStyle w:val="0"/>
        <w:widowControl w:val="1"/>
        <w:jc w:val="left"/>
        <w:rPr>
          <w:rFonts w:hint="default" w:ascii="HGSｺﾞｼｯｸM" w:hAnsi="HGSｺﾞｼｯｸM" w:eastAsia="HGSｺﾞｼｯｸM"/>
          <w:color w:val="auto"/>
          <w:sz w:val="22"/>
        </w:rPr>
      </w:pPr>
    </w:p>
    <w:p>
      <w:pPr>
        <w:pStyle w:val="0"/>
        <w:rPr>
          <w:rFonts w:hint="default" w:ascii="HGSｺﾞｼｯｸM" w:hAnsi="HGSｺﾞｼｯｸM" w:eastAsia="HGSｺﾞｼｯｸM"/>
          <w:color w:val="auto"/>
          <w:sz w:val="24"/>
        </w:rPr>
      </w:pPr>
      <w:bookmarkStart w:id="476" w:name="_Toc17918"/>
      <w:bookmarkStart w:id="477" w:name="_Toc2723"/>
      <w:bookmarkStart w:id="478" w:name="_Toc31574"/>
      <w:bookmarkStart w:id="479" w:name="_Toc32312"/>
      <w:bookmarkStart w:id="480" w:name="_Toc4284"/>
      <w:r>
        <w:rPr>
          <w:rFonts w:hint="eastAsia" w:ascii="HGSｺﾞｼｯｸM" w:hAnsi="HGSｺﾞｼｯｸM" w:eastAsia="HGSｺﾞｼｯｸM"/>
          <w:color w:val="auto"/>
          <w:sz w:val="24"/>
        </w:rPr>
        <w:t>（４）地域団体への支援</w:t>
      </w:r>
      <w:bookmarkEnd w:id="476"/>
      <w:bookmarkEnd w:id="477"/>
      <w:bookmarkEnd w:id="478"/>
      <w:bookmarkEnd w:id="479"/>
      <w:bookmarkEnd w:id="480"/>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①空き家掘り起こし事業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地域団体の働きかけにより、空き家所有者などが空き家バンクへの登録に同意したうえで新規登録した場合、その活動に対する報奨金を予算の範囲内で支給します。</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また、上記の活動により、空き家バンクに登録された当該空き家が新規活用された場合、その活動に対する報奨金を予算の範囲内で支給します。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②空き家掃除お助け事業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き家バンクに登録された空き家や新規活用が見込まれる空き家について、地域団体が所有者などの同意を得て家財道具の撤去などを行う場合、その廃棄物処分費（バケット代）を予算の範囲内で補助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③移住促進（移住促進住宅整備）事業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移住促進特別区域（※</w:t>
      </w:r>
      <w:r>
        <w:rPr>
          <w:rFonts w:hint="eastAsia" w:ascii="HGSｺﾞｼｯｸM" w:hAnsi="HGSｺﾞｼｯｸM" w:eastAsia="HGSｺﾞｼｯｸM"/>
          <w:color w:val="auto"/>
          <w:sz w:val="22"/>
        </w:rPr>
        <w:t>22</w:t>
      </w:r>
      <w:r>
        <w:rPr>
          <w:rFonts w:hint="eastAsia" w:ascii="HGSｺﾞｼｯｸM" w:hAnsi="HGSｺﾞｼｯｸM" w:eastAsia="HGSｺﾞｼｯｸM"/>
          <w:color w:val="auto"/>
          <w:sz w:val="22"/>
        </w:rPr>
        <w:t>ﾍﾟｰｼﾞ）の空き家を活用し、地域団体が移住者向けのお試し住宅（短期間居住または滞在する施設）やシェアオフィス（小規模事業者が共同利用する事業所）とするために必要な改修を行う場合、その改修費を予算の範囲内で補助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④地域定住促進拠点施設整備事業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空き家を活用し、地域団体が移住者向けのお試し住宅（短期間居住または滞在する施設）など定住促進拠点施設とするために必要な改修を行う場合、その改修費を予算の範囲内で補助します。</w:t>
      </w:r>
    </w:p>
    <w:p>
      <w:pPr>
        <w:pStyle w:val="0"/>
        <w:widowControl w:val="1"/>
        <w:jc w:val="left"/>
        <w:rPr>
          <w:rFonts w:hint="default" w:ascii="HGSｺﾞｼｯｸM" w:hAnsi="HGSｺﾞｼｯｸM" w:eastAsia="HGSｺﾞｼｯｸM"/>
          <w:color w:val="auto"/>
          <w:sz w:val="22"/>
        </w:rPr>
      </w:pPr>
    </w:p>
    <w:p>
      <w:pPr>
        <w:pStyle w:val="0"/>
        <w:rPr>
          <w:rFonts w:hint="default" w:ascii="HGSｺﾞｼｯｸM" w:hAnsi="HGSｺﾞｼｯｸM" w:eastAsia="HGSｺﾞｼｯｸM"/>
          <w:color w:val="auto"/>
          <w:sz w:val="24"/>
        </w:rPr>
      </w:pPr>
      <w:bookmarkStart w:id="481" w:name="_Toc14525"/>
      <w:bookmarkStart w:id="482" w:name="_Toc21879"/>
      <w:bookmarkStart w:id="483" w:name="_Toc24425"/>
      <w:bookmarkStart w:id="484" w:name="_Toc29492"/>
      <w:bookmarkStart w:id="485" w:name="_Toc3785"/>
      <w:r>
        <w:rPr>
          <w:rFonts w:hint="eastAsia" w:ascii="HGSｺﾞｼｯｸM" w:hAnsi="HGSｺﾞｼｯｸM" w:eastAsia="HGSｺﾞｼｯｸM"/>
          <w:color w:val="auto"/>
          <w:sz w:val="24"/>
        </w:rPr>
        <w:t>（５）しごと・企業への支援</w:t>
      </w:r>
      <w:bookmarkEnd w:id="481"/>
      <w:bookmarkEnd w:id="482"/>
      <w:bookmarkEnd w:id="483"/>
      <w:bookmarkEnd w:id="484"/>
      <w:bookmarkEnd w:id="485"/>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①移住者起業支援事業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移住促進特別区域（※</w:t>
      </w:r>
      <w:r>
        <w:rPr>
          <w:rFonts w:hint="eastAsia" w:ascii="HGSｺﾞｼｯｸM" w:hAnsi="HGSｺﾞｼｯｸM" w:eastAsia="HGSｺﾞｼｯｸM"/>
          <w:color w:val="auto"/>
          <w:sz w:val="22"/>
        </w:rPr>
        <w:t>22</w:t>
      </w:r>
      <w:r>
        <w:rPr>
          <w:rFonts w:hint="eastAsia" w:ascii="HGSｺﾞｼｯｸM" w:hAnsi="HGSｺﾞｼｯｸM" w:eastAsia="HGSｺﾞｼｯｸM"/>
          <w:color w:val="auto"/>
          <w:sz w:val="22"/>
        </w:rPr>
        <w:t>ﾍﾟｰｼﾞ）の空き家など既存施設を活用し、移住者または代表者が移住者である法人が起業するために必要な改修や整備を行う場合、その改修費・敷地整備費・設備機器整備費・設計費などを予算の範囲内で補助します。</w:t>
      </w:r>
    </w:p>
    <w:p>
      <w:pPr>
        <w:pStyle w:val="0"/>
        <w:widowControl w:val="1"/>
        <w:jc w:val="left"/>
        <w:rPr>
          <w:rFonts w:hint="default" w:ascii="HGSｺﾞｼｯｸM" w:hAnsi="HGSｺﾞｼｯｸM" w:eastAsia="HGSｺﾞｼｯｸM"/>
          <w:color w:val="auto"/>
          <w:sz w:val="22"/>
        </w:rPr>
      </w:pPr>
    </w:p>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②サテライトオフィス誘致事業者等支援（事業所開設・運営）事業</w:t>
      </w:r>
    </w:p>
    <w:p>
      <w:pPr>
        <w:pStyle w:val="0"/>
        <w:widowControl w:val="1"/>
        <w:ind w:firstLine="220" w:firstLineChars="100"/>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空き家などを活用し、企業がサテライトオフィス（本社から離れた場所に設置する事業所）を開設・運営する場合、その開設費・運営費を予算の範囲内で補助します。</w:t>
      </w:r>
    </w:p>
    <w:p>
      <w:pPr>
        <w:pStyle w:val="0"/>
        <w:widowControl w:val="1"/>
        <w:ind w:firstLine="220" w:firstLineChars="100"/>
        <w:jc w:val="left"/>
        <w:rPr>
          <w:rFonts w:hint="default" w:ascii="HGSｺﾞｼｯｸM" w:hAnsi="HGSｺﾞｼｯｸM" w:eastAsia="HGSｺﾞｼｯｸM"/>
          <w:color w:val="auto"/>
          <w:sz w:val="22"/>
        </w:rPr>
      </w:pPr>
    </w:p>
    <w:tbl>
      <w:tblPr>
        <w:tblStyle w:val="35"/>
        <w:tblW w:w="8820" w:type="dxa"/>
        <w:tblInd w:w="0" w:type="dxa"/>
        <w:tblLayout w:type="fixed"/>
        <w:tblLook w:firstRow="1" w:lastRow="0" w:firstColumn="1" w:lastColumn="0" w:noHBand="0" w:noVBand="1" w:val="04A0"/>
      </w:tblPr>
      <w:tblGrid>
        <w:gridCol w:w="9036"/>
      </w:tblGrid>
      <w:tr>
        <w:trPr>
          <w:trHeight w:val="9880" w:hRule="atLeast"/>
        </w:trPr>
        <w:tc>
          <w:tcPr>
            <w:tcW w:w="9108" w:type="dxa"/>
            <w:vAlign w:val="top"/>
          </w:tcPr>
          <w:p>
            <w:pPr>
              <w:pStyle w:val="0"/>
              <w:widowControl w:val="1"/>
              <w:jc w:val="left"/>
              <w:rPr>
                <w:rFonts w:hint="default" w:ascii="HGSｺﾞｼｯｸM" w:hAnsi="HGSｺﾞｼｯｸM" w:eastAsia="HGSｺﾞｼｯｸM"/>
                <w:color w:val="auto"/>
                <w:sz w:val="22"/>
              </w:rPr>
            </w:pPr>
            <w:r>
              <w:rPr>
                <w:rFonts w:hint="eastAsia" w:ascii="HGSｺﾞｼｯｸM" w:hAnsi="HGSｺﾞｼｯｸM" w:eastAsia="HGSｺﾞｼｯｸM"/>
                <w:color w:val="auto"/>
                <w:sz w:val="22"/>
              </w:rPr>
              <w:t>※移住促進特別区域</w:t>
            </w:r>
          </w:p>
          <w:p>
            <w:pPr>
              <w:pStyle w:val="0"/>
              <w:autoSpaceDE w:val="0"/>
              <w:autoSpaceDN w:val="0"/>
              <w:adjustRightInd w:val="0"/>
              <w:ind w:firstLine="230" w:firstLineChars="100"/>
              <w:rPr>
                <w:rFonts w:hint="default" w:ascii="HGｺﾞｼｯｸM" w:hAnsi="HGｺﾞｼｯｸM" w:eastAsia="HGｺﾞｼｯｸM"/>
                <w:strike w:val="0"/>
                <w:color w:val="auto"/>
                <w:sz w:val="23"/>
                <w:u w:val="none" w:color="auto"/>
              </w:rPr>
            </w:pPr>
            <w:r>
              <w:rPr>
                <w:rFonts w:hint="default" w:ascii="HGｺﾞｼｯｸM" w:hAnsi="HGｺﾞｼｯｸM" w:eastAsia="HGｺﾞｼｯｸM"/>
                <w:color w:val="auto"/>
                <w:sz w:val="23"/>
              </w:rPr>
              <w:t>人口減少・少子高齢化などにより、移住促進や地域活性化に向けた特別な対策を必要とする地域であって、空き家や農地の活用による移住者の受け入れに積極的な地域を、京都府が「移住促進特別区域」として指定します。</w:t>
            </w:r>
            <w:r>
              <w:rPr>
                <w:rFonts w:hint="default" w:ascii="HGｺﾞｼｯｸM" w:hAnsi="HGｺﾞｼｯｸM" w:eastAsia="HGｺﾞｼｯｸM"/>
                <w:color w:val="auto"/>
                <w:sz w:val="23"/>
              </w:rPr>
              <w:t xml:space="preserve"> </w:t>
            </w:r>
          </w:p>
          <w:p>
            <w:pPr>
              <w:pStyle w:val="0"/>
              <w:autoSpaceDE w:val="0"/>
              <w:autoSpaceDN w:val="0"/>
              <w:adjustRightInd w:val="0"/>
              <w:ind w:firstLine="230" w:firstLineChars="100"/>
              <w:rPr>
                <w:rFonts w:hint="default" w:ascii="HGｺﾞｼｯｸM" w:hAnsi="HGｺﾞｼｯｸM" w:eastAsia="HGｺﾞｼｯｸM"/>
                <w:strike w:val="0"/>
                <w:color w:val="auto"/>
                <w:sz w:val="23"/>
                <w:u w:val="none" w:color="auto"/>
              </w:rPr>
            </w:pPr>
            <w:r>
              <w:rPr>
                <w:rFonts w:hint="default" w:ascii="HGｺﾞｼｯｸM" w:hAnsi="HGｺﾞｼｯｸM" w:eastAsia="HGｺﾞｼｯｸM"/>
                <w:strike w:val="0"/>
                <w:color w:val="auto"/>
                <w:sz w:val="23"/>
                <w:u w:val="none" w:color="auto"/>
              </w:rPr>
              <w:t>区域に指定されると、京都府や南丹市が実施する移住に伴う経済的負担の軽減策などを受けることができます。</w:t>
            </w:r>
            <w:r>
              <w:rPr>
                <w:rFonts w:hint="default" w:ascii="HGｺﾞｼｯｸM" w:hAnsi="HGｺﾞｼｯｸM" w:eastAsia="HGｺﾞｼｯｸM"/>
                <w:strike w:val="0"/>
                <w:color w:val="auto"/>
                <w:sz w:val="23"/>
                <w:u w:val="none" w:color="auto"/>
              </w:rPr>
              <w:t xml:space="preserve"> </w:t>
            </w:r>
          </w:p>
          <w:p>
            <w:pPr>
              <w:pStyle w:val="0"/>
              <w:autoSpaceDE w:val="0"/>
              <w:autoSpaceDN w:val="0"/>
              <w:adjustRightInd w:val="0"/>
              <w:rPr>
                <w:rFonts w:hint="default" w:ascii="HGｺﾞｼｯｸM" w:hAnsi="HGｺﾞｼｯｸM" w:eastAsia="HGｺﾞｼｯｸM"/>
                <w:color w:val="auto"/>
                <w:sz w:val="23"/>
              </w:rPr>
            </w:pPr>
            <w:r>
              <w:rPr>
                <w:rFonts w:hint="default" w:ascii="HGｺﾞｼｯｸE" w:hAnsi="HGｺﾞｼｯｸE" w:eastAsia="HGｺﾞｼｯｸM"/>
                <w:strike w:val="0"/>
                <w:color w:val="auto"/>
                <w:sz w:val="23"/>
                <w:u w:val="none" w:color="auto"/>
              </w:rPr>
              <w:t>■</w:t>
            </w:r>
            <w:r>
              <w:rPr>
                <w:rFonts w:hint="default" w:ascii="HGｺﾞｼｯｸE" w:hAnsi="HGｺﾞｼｯｸE" w:eastAsia="HGｺﾞｼｯｸM"/>
                <w:strike w:val="0"/>
                <w:color w:val="auto"/>
                <w:sz w:val="23"/>
                <w:u w:val="none" w:color="auto"/>
              </w:rPr>
              <w:t>南丹市の移住促進特別区域</w:t>
            </w:r>
            <w:r>
              <w:rPr>
                <w:rFonts w:hint="default" w:ascii="HGｺﾞｼｯｸE" w:hAnsi="HGｺﾞｼｯｸE" w:eastAsia="HGｺﾞｼｯｸM"/>
                <w:strike w:val="0"/>
                <w:color w:val="auto"/>
                <w:sz w:val="23"/>
                <w:u w:val="none" w:color="auto"/>
              </w:rPr>
              <w:t xml:space="preserve"> </w:t>
            </w:r>
          </w:p>
          <w:tbl>
            <w:tblPr>
              <w:tblStyle w:val="11"/>
              <w:tblInd w:w="0" w:type="dxa"/>
              <w:tblBorders>
                <w:top w:val="none" w:color="auto" w:sz="0" w:space="0"/>
                <w:left w:val="none" w:color="auto" w:sz="0" w:space="0"/>
                <w:bottom w:val="none" w:color="auto" w:sz="0" w:space="0"/>
                <w:right w:val="none" w:color="auto" w:sz="0" w:space="0"/>
              </w:tblBorders>
              <w:tblLayout w:type="fixed"/>
              <w:tblCellMar>
                <w:top w:w="0" w:type="dxa"/>
                <w:left w:w="108" w:type="dxa"/>
                <w:bottom w:w="0" w:type="dxa"/>
                <w:right w:w="108" w:type="dxa"/>
              </w:tblCellMar>
              <w:tblLook w:firstRow="1" w:lastRow="0" w:firstColumn="1" w:lastColumn="0" w:noHBand="0" w:noVBand="1" w:val="04A0"/>
            </w:tblPr>
            <w:tblGrid>
              <w:gridCol w:w="2340"/>
              <w:gridCol w:w="6480"/>
            </w:tblGrid>
            <w:tr>
              <w:trPr>
                <w:trHeight w:val="120"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center"/>
                    <w:rPr>
                      <w:rFonts w:hint="eastAsia"/>
                      <w:color w:val="auto"/>
                    </w:rPr>
                  </w:pPr>
                  <w:r>
                    <w:rPr>
                      <w:rFonts w:hint="default" w:ascii="HGｺﾞｼｯｸM" w:hAnsi="HGｺﾞｼｯｸM" w:eastAsia="HGｺﾞｼｯｸM"/>
                      <w:color w:val="auto"/>
                      <w:sz w:val="23"/>
                    </w:rPr>
                    <w:t>地区名</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jc w:val="center"/>
                    <w:rPr>
                      <w:rFonts w:hint="eastAsia"/>
                      <w:color w:val="auto"/>
                    </w:rPr>
                  </w:pPr>
                  <w:r>
                    <w:rPr>
                      <w:rFonts w:hint="default" w:ascii="HGｺﾞｼｯｸM" w:hAnsi="HGｺﾞｼｯｸM" w:eastAsia="HGｺﾞｼｯｸM"/>
                      <w:color w:val="auto"/>
                      <w:sz w:val="23"/>
                    </w:rPr>
                    <w:t>地区内の集落（行政区）名</w:t>
                  </w:r>
                </w:p>
              </w:tc>
            </w:tr>
            <w:tr>
              <w:trPr>
                <w:trHeight w:val="120"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①</w:t>
                  </w:r>
                  <w:r>
                    <w:rPr>
                      <w:rFonts w:hint="default" w:ascii="HGｺﾞｼｯｸM" w:hAnsi="HGｺﾞｼｯｸM" w:eastAsia="HGｺﾞｼｯｸM"/>
                      <w:color w:val="auto"/>
                      <w:sz w:val="23"/>
                    </w:rPr>
                    <w:t>園部町川辺地区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船岡・高屋・大戸・熊原・佐切・越方</w:t>
                  </w:r>
                </w:p>
              </w:tc>
            </w:tr>
            <w:tr>
              <w:trPr>
                <w:trHeight w:val="120"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②</w:t>
                  </w:r>
                  <w:r>
                    <w:rPr>
                      <w:rFonts w:hint="default" w:ascii="HGｺﾞｼｯｸM" w:hAnsi="HGｺﾞｼｯｸM" w:eastAsia="HGｺﾞｼｯｸM"/>
                      <w:color w:val="auto"/>
                      <w:sz w:val="23"/>
                    </w:rPr>
                    <w:t>園部町摩気地区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竹井・仁江・船阪・大西・宍人・半田・口人・口司</w:t>
                  </w:r>
                </w:p>
              </w:tc>
            </w:tr>
            <w:tr>
              <w:trPr>
                <w:trHeight w:val="120"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③</w:t>
                  </w:r>
                  <w:r>
                    <w:rPr>
                      <w:rFonts w:hint="default" w:ascii="HGｺﾞｼｯｸM" w:hAnsi="HGｺﾞｼｯｸM" w:eastAsia="HGｺﾞｼｯｸM"/>
                      <w:color w:val="auto"/>
                      <w:sz w:val="23"/>
                    </w:rPr>
                    <w:t>園部町西本梅地区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殿谷・埴生・南八田・天引・法京・大河内・南大谷・若森</w:t>
                  </w:r>
                </w:p>
              </w:tc>
            </w:tr>
            <w:tr>
              <w:trPr>
                <w:trHeight w:val="120"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④</w:t>
                  </w:r>
                  <w:r>
                    <w:rPr>
                      <w:rFonts w:hint="default" w:ascii="HGｺﾞｼｯｸM" w:hAnsi="HGｺﾞｼｯｸM" w:eastAsia="HGｺﾞｼｯｸM"/>
                      <w:color w:val="auto"/>
                      <w:sz w:val="23"/>
                    </w:rPr>
                    <w:t>八木町北地区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船枝・山室・室橋・諸畑・野条・池上</w:t>
                  </w:r>
                </w:p>
              </w:tc>
            </w:tr>
            <w:tr>
              <w:trPr>
                <w:trHeight w:val="120"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⑤</w:t>
                  </w:r>
                  <w:r>
                    <w:rPr>
                      <w:rFonts w:hint="default" w:ascii="HGｺﾞｼｯｸM" w:hAnsi="HGｺﾞｼｯｸM" w:eastAsia="HGｺﾞｼｯｸM"/>
                      <w:color w:val="auto"/>
                      <w:sz w:val="23"/>
                    </w:rPr>
                    <w:t>八木町神吉地区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神吉上・神吉下・神吉和田</w:t>
                  </w:r>
                </w:p>
              </w:tc>
            </w:tr>
            <w:tr>
              <w:trPr>
                <w:trHeight w:val="120"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⑥</w:t>
                  </w:r>
                  <w:r>
                    <w:rPr>
                      <w:rFonts w:hint="default" w:ascii="HGｺﾞｼｯｸM" w:hAnsi="HGｺﾞｼｯｸM" w:eastAsia="HGｺﾞｼｯｸM"/>
                      <w:color w:val="auto"/>
                      <w:sz w:val="23"/>
                    </w:rPr>
                    <w:t>日吉町世木地区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殿田（上）・殿田（下）・木住・生畑・中世木</w:t>
                  </w:r>
                </w:p>
              </w:tc>
            </w:tr>
            <w:tr>
              <w:trPr>
                <w:trHeight w:val="275"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⑦</w:t>
                  </w:r>
                  <w:r>
                    <w:rPr>
                      <w:rFonts w:hint="default" w:ascii="HGｺﾞｼｯｸM" w:hAnsi="HGｺﾞｼｯｸM" w:eastAsia="HGｺﾞｼｯｸM"/>
                      <w:color w:val="auto"/>
                      <w:sz w:val="23"/>
                    </w:rPr>
                    <w:t>日吉町五ヶ荘地区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東雲・片野・新シ・和田・興風・彰徳・吉野辺・中組・海老谷・東組・下佐々江・中佐々江・上佐々江</w:t>
                  </w:r>
                </w:p>
              </w:tc>
            </w:tr>
            <w:tr>
              <w:trPr>
                <w:trHeight w:val="431"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⑧</w:t>
                  </w:r>
                  <w:r>
                    <w:rPr>
                      <w:rFonts w:hint="default" w:ascii="HGｺﾞｼｯｸM" w:hAnsi="HGｺﾞｼｯｸM" w:eastAsia="HGｺﾞｼｯｸM"/>
                      <w:color w:val="auto"/>
                      <w:sz w:val="23"/>
                    </w:rPr>
                    <w:t>日吉町胡麻郷地区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畑郷・後野・上胡麻・広野・胡麻荘園・日吉平・新町・中野辺・西胡麻駅前・角本・中村・栄ケ丘・東胡麻・上保野田・下保野田・志和賀</w:t>
                  </w:r>
                  <w:r>
                    <w:rPr>
                      <w:rFonts w:hint="default" w:ascii="HGｺﾞｼｯｸM" w:hAnsi="HGｺﾞｼｯｸM" w:eastAsia="HGｺﾞｼｯｸM"/>
                      <w:color w:val="auto"/>
                      <w:sz w:val="23"/>
                    </w:rPr>
                    <w:t>※</w:t>
                  </w:r>
                  <w:r>
                    <w:rPr>
                      <w:rFonts w:hint="default" w:ascii="HGｺﾞｼｯｸM" w:hAnsi="HGｺﾞｼｯｸM" w:eastAsia="HGｺﾞｼｯｸM"/>
                      <w:color w:val="auto"/>
                      <w:sz w:val="23"/>
                    </w:rPr>
                    <w:t>イングランドヒルズ除く</w:t>
                  </w:r>
                </w:p>
              </w:tc>
            </w:tr>
            <w:tr>
              <w:trPr>
                <w:trHeight w:val="276"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⑨</w:t>
                  </w:r>
                  <w:r>
                    <w:rPr>
                      <w:rFonts w:hint="default" w:ascii="HGｺﾞｼｯｸM" w:hAnsi="HGｺﾞｼｯｸM" w:eastAsia="HGｺﾞｼｯｸM"/>
                      <w:color w:val="auto"/>
                      <w:sz w:val="23"/>
                    </w:rPr>
                    <w:t>美山町知井地区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南・北・中・河内谷・下・知見・江和・田歌・芦生・白石・佐々里</w:t>
                  </w:r>
                </w:p>
              </w:tc>
            </w:tr>
            <w:tr>
              <w:trPr>
                <w:trHeight w:val="275"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⑩</w:t>
                  </w:r>
                  <w:r>
                    <w:rPr>
                      <w:rFonts w:hint="default" w:ascii="HGｺﾞｼｯｸM" w:hAnsi="HGｺﾞｼｯｸM" w:eastAsia="HGｺﾞｼｯｸM"/>
                      <w:color w:val="auto"/>
                      <w:sz w:val="23"/>
                    </w:rPr>
                    <w:t>美山町平屋地区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又林・下平屋・上平屋・安掛・野添・長尾・深見・荒倉・大内・内久保</w:t>
                  </w:r>
                </w:p>
              </w:tc>
            </w:tr>
            <w:tr>
              <w:trPr>
                <w:trHeight w:val="120"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⑪</w:t>
                  </w:r>
                  <w:r>
                    <w:rPr>
                      <w:rFonts w:hint="default" w:ascii="HGｺﾞｼｯｸM" w:hAnsi="HGｺﾞｼｯｸM" w:eastAsia="HGｺﾞｼｯｸM"/>
                      <w:color w:val="auto"/>
                      <w:sz w:val="23"/>
                    </w:rPr>
                    <w:t>美山町宮島地区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原・板橋・宮脇・下吉田・島・長谷・上司・和泉・静原</w:t>
                  </w:r>
                </w:p>
              </w:tc>
            </w:tr>
            <w:tr>
              <w:trPr>
                <w:trHeight w:val="276"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⑫</w:t>
                  </w:r>
                  <w:r>
                    <w:rPr>
                      <w:rFonts w:hint="default" w:ascii="HGｺﾞｼｯｸM" w:hAnsi="HGｺﾞｼｯｸM" w:eastAsia="HGｺﾞｼｯｸM"/>
                      <w:color w:val="auto"/>
                      <w:sz w:val="23"/>
                    </w:rPr>
                    <w:t>美山町鶴ヶ岡地区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今宮・栃原・砂木・棚・川合・殿・舟津・松尾・神谷・名島・洞・田土・上吉田・林・庄田・脇・熊壁・山森</w:t>
                  </w:r>
                </w:p>
              </w:tc>
            </w:tr>
            <w:tr>
              <w:trPr>
                <w:trHeight w:val="120" w:hRule="atLeast"/>
              </w:trPr>
              <w:tc>
                <w:tcPr>
                  <w:tcW w:w="234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⑬</w:t>
                  </w:r>
                  <w:r>
                    <w:rPr>
                      <w:rFonts w:hint="default" w:ascii="HGｺﾞｼｯｸM" w:hAnsi="HGｺﾞｼｯｸM" w:eastAsia="HGｺﾞｼｯｸM"/>
                      <w:color w:val="auto"/>
                      <w:sz w:val="23"/>
                    </w:rPr>
                    <w:t>美山町大野地区</w:t>
                  </w:r>
                </w:p>
              </w:tc>
              <w:tc>
                <w:tcPr>
                  <w:tcW w:w="6480" w:type="dxa"/>
                  <w:tcBorders>
                    <w:top w:val="single" w:color="auto" w:sz="4" w:space="0"/>
                    <w:left w:val="single" w:color="auto" w:sz="4" w:space="0"/>
                    <w:bottom w:val="single" w:color="auto" w:sz="4" w:space="0"/>
                    <w:right w:val="single" w:color="auto" w:sz="4" w:space="0"/>
                    <w:tl2br w:val="nil"/>
                    <w:tr2bl w:val="nil"/>
                  </w:tcBorders>
                  <w:vAlign w:val="top"/>
                </w:tcPr>
                <w:p>
                  <w:pPr>
                    <w:pStyle w:val="0"/>
                    <w:autoSpaceDE w:val="0"/>
                    <w:autoSpaceDN w:val="0"/>
                    <w:adjustRightInd w:val="0"/>
                    <w:rPr>
                      <w:rFonts w:hint="eastAsia"/>
                      <w:color w:val="auto"/>
                    </w:rPr>
                  </w:pPr>
                  <w:r>
                    <w:rPr>
                      <w:rFonts w:hint="default" w:ascii="HGｺﾞｼｯｸM" w:hAnsi="HGｺﾞｼｯｸM" w:eastAsia="HGｺﾞｼｯｸM"/>
                      <w:color w:val="auto"/>
                      <w:sz w:val="23"/>
                    </w:rPr>
                    <w:t>萱野・大野・川谷・岩江戸・肱谷・小渕・向山・樫原・音海</w:t>
                  </w:r>
                </w:p>
              </w:tc>
            </w:tr>
          </w:tbl>
          <w:p>
            <w:pPr>
              <w:pStyle w:val="0"/>
              <w:widowControl w:val="1"/>
              <w:jc w:val="left"/>
              <w:rPr>
                <w:rFonts w:hint="eastAsia"/>
                <w:color w:val="auto"/>
              </w:rPr>
            </w:pPr>
          </w:p>
        </w:tc>
      </w:tr>
    </w:tbl>
    <w:p>
      <w:pPr>
        <w:pStyle w:val="0"/>
        <w:rPr>
          <w:rFonts w:hint="default" w:ascii="HGSｺﾞｼｯｸM" w:hAnsi="HGSｺﾞｼｯｸM" w:eastAsia="HGSｺﾞｼｯｸM"/>
          <w:color w:val="auto"/>
          <w:sz w:val="22"/>
        </w:rPr>
      </w:pPr>
    </w:p>
    <w:p>
      <w:pPr>
        <w:pStyle w:val="1"/>
        <w:rPr>
          <w:rFonts w:hint="default" w:ascii="HGSｺﾞｼｯｸM" w:hAnsi="HGSｺﾞｼｯｸM" w:eastAsia="HGSｺﾞｼｯｸM"/>
          <w:color w:val="auto"/>
          <w:sz w:val="28"/>
          <w:u w:val="thick" w:color="auto"/>
        </w:rPr>
      </w:pPr>
      <w:bookmarkStart w:id="486" w:name="_Toc13907"/>
      <w:bookmarkStart w:id="487" w:name="_Toc20602"/>
      <w:bookmarkStart w:id="488" w:name="_Toc25532"/>
      <w:bookmarkStart w:id="489" w:name="_Toc25940"/>
      <w:bookmarkStart w:id="490" w:name="_Toc28565"/>
      <w:bookmarkStart w:id="491" w:name="_Toc31780"/>
      <w:bookmarkStart w:id="492" w:name="_Toc32299"/>
      <w:bookmarkStart w:id="493" w:name="_Toc32651"/>
      <w:bookmarkStart w:id="494" w:name="_Toc7811"/>
      <w:r>
        <w:rPr>
          <w:rFonts w:hint="eastAsia" w:ascii="HGSｺﾞｼｯｸM" w:hAnsi="HGSｺﾞｼｯｸM" w:eastAsia="HGSｺﾞｼｯｸM"/>
          <w:color w:val="auto"/>
          <w:sz w:val="28"/>
          <w:u w:val="thick" w:color="auto"/>
        </w:rPr>
        <w:t>参考資料</w:t>
      </w:r>
      <w:bookmarkEnd w:id="446"/>
      <w:r>
        <w:rPr>
          <w:rFonts w:hint="eastAsia" w:ascii="HGSｺﾞｼｯｸM" w:hAnsi="HGSｺﾞｼｯｸM" w:eastAsia="HGSｺﾞｼｯｸM"/>
          <w:color w:val="auto"/>
          <w:sz w:val="28"/>
          <w:u w:val="thick" w:color="auto"/>
        </w:rPr>
        <w:t>　　　　　　　　　　　　　　　　　　　　　　　　　　</w:t>
      </w:r>
      <w:bookmarkEnd w:id="447"/>
      <w:bookmarkEnd w:id="486"/>
      <w:bookmarkEnd w:id="448"/>
      <w:bookmarkEnd w:id="487"/>
      <w:bookmarkEnd w:id="488"/>
      <w:bookmarkEnd w:id="449"/>
      <w:bookmarkEnd w:id="489"/>
      <w:bookmarkEnd w:id="490"/>
      <w:bookmarkEnd w:id="450"/>
      <w:bookmarkEnd w:id="491"/>
      <w:bookmarkEnd w:id="492"/>
      <w:bookmarkEnd w:id="493"/>
      <w:bookmarkEnd w:id="494"/>
    </w:p>
    <w:p>
      <w:pPr>
        <w:pStyle w:val="2"/>
        <w:rPr>
          <w:rFonts w:hint="default" w:ascii="HGSｺﾞｼｯｸM" w:hAnsi="HGSｺﾞｼｯｸM" w:eastAsia="HGSｺﾞｼｯｸM"/>
          <w:color w:val="auto"/>
          <w:sz w:val="24"/>
        </w:rPr>
      </w:pPr>
      <w:bookmarkStart w:id="495" w:name="_Toc14022"/>
      <w:bookmarkStart w:id="496" w:name="_Toc170"/>
      <w:bookmarkStart w:id="497" w:name="_Toc2013"/>
      <w:bookmarkStart w:id="498" w:name="_Toc21618"/>
      <w:bookmarkStart w:id="499" w:name="_Toc36047461"/>
      <w:bookmarkStart w:id="500" w:name="_Toc4039"/>
      <w:bookmarkStart w:id="501" w:name="_Toc4769"/>
      <w:bookmarkStart w:id="502" w:name="_Toc4975"/>
      <w:bookmarkStart w:id="503" w:name="_Toc5874"/>
      <w:bookmarkStart w:id="504" w:name="_Toc6122"/>
      <w:bookmarkStart w:id="505" w:name="_Toc6169"/>
      <w:bookmarkStart w:id="506" w:name="_Toc6309"/>
      <w:bookmarkStart w:id="507" w:name="_Toc6591"/>
      <w:bookmarkStart w:id="508" w:name="_Toc9926"/>
      <w:r>
        <w:rPr>
          <w:rFonts w:hint="eastAsia" w:ascii="HGSｺﾞｼｯｸM" w:hAnsi="HGSｺﾞｼｯｸM" w:eastAsia="HGSｺﾞｼｯｸM"/>
          <w:color w:val="auto"/>
          <w:sz w:val="24"/>
        </w:rPr>
        <w:t>空家等対策の推進に関する特別措置法</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pPr>
        <w:pStyle w:val="0"/>
        <w:jc w:val="right"/>
        <w:rPr>
          <w:rFonts w:hint="eastAsia" w:ascii="HGSｺﾞｼｯｸM" w:hAnsi="HGSｺﾞｼｯｸM" w:eastAsia="HGSｺﾞｼｯｸM"/>
          <w:color w:val="auto"/>
          <w:sz w:val="24"/>
        </w:rPr>
      </w:pPr>
      <w:bookmarkStart w:id="509" w:name="_Toc1897"/>
      <w:bookmarkStart w:id="510" w:name="_Toc2155"/>
      <w:bookmarkStart w:id="511" w:name="_Toc26709"/>
      <w:bookmarkStart w:id="512" w:name="_Toc6522"/>
      <w:bookmarkStart w:id="513" w:name="_Toc9083"/>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平成二十六年十一月二十七日</w:t>
      </w:r>
      <w:r>
        <w:rPr>
          <w:rFonts w:hint="eastAsia" w:ascii="HGSｺﾞｼｯｸM" w:hAnsi="HGSｺﾞｼｯｸM" w:eastAsia="HGSｺﾞｼｯｸM"/>
          <w:color w:val="auto"/>
          <w:sz w:val="24"/>
        </w:rPr>
        <w:t>)</w:t>
      </w:r>
    </w:p>
    <w:p>
      <w:pPr>
        <w:pStyle w:val="0"/>
        <w:jc w:val="right"/>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法律第百二十七号</w:t>
      </w:r>
      <w:r>
        <w:rPr>
          <w:rFonts w:hint="eastAsia" w:ascii="HGSｺﾞｼｯｸM" w:hAnsi="HGSｺﾞｼｯｸM" w:eastAsia="HGSｺﾞｼｯｸM"/>
          <w:color w:val="auto"/>
          <w:sz w:val="24"/>
        </w:rPr>
        <w:t>)</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目的</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第一条　この法律は、適切な管理が行われていない空家等が防災、衛生、景観等の地域住民の生活環境に深刻な影響を及ぼしていることに鑑み、地域住民の生命、身体又は財産を保護するとともに、その生活環境の保全を図り、あわせて空家等の活用を促進するため、空家等に関する施策に関し、国による基本指針の策定、市町村</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特別区を含む。第十条第二項を除き、以下同じ。</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による空家等対策計画の作成その他の空家等に関する施策を推進するために必要な事項を定めることにより、空家等に関する施策を総合的かつ計画的に推進し、もって公共の福祉の増進と地域の振興に寄与することを目的とす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定義</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第二条　この法律において「空家等」とは、建築物又はこれに附属する工作物であって居住その他の使用がなされていないことが常態であるもの及びその敷地</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立木その他の土地に定着する物を含む。</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をいう。ただし、国又は地方公共団体が所有し、又は管理するものを除く。</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この法律において「特定空家等」とは、そのまま放置すれば倒壊等著しく保安上危険となるおそれのある状態又は著しく衛生上有害となるおそれのある状態、適切な管理が行われていないことにより著しく景観を損なっている状態その他周辺の生活環境の保全を図るために放置することが不適切である状態にあると認められる空家等をいう。</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空家等の所有者等の責務</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第三条　空家等の所有者又は管理者</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以下「所有者等」という。</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は、周辺の生活環境に悪影響を及ぼさないよう、空家等の適切な管理に努めるものとする。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市町村の責務</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第四条　市町村は、第六条第一項に規定する空家等対策計画の作成及びこれに基づく空家等に関する対策の実施その他の空家等に関する必要な措置を適切に講ずるよう努めるものとする。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基本指針</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第五条　国土交通大臣及び総務大臣は、空家等に関する施策を総合的かつ計画的に実施するための基本的な指針</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以下「基本指針」という。</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を定めるものとする。</w:t>
      </w: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基本指針においては、次に掲げる事項を定めるものとする。</w:t>
      </w:r>
    </w:p>
    <w:p>
      <w:pPr>
        <w:pStyle w:val="0"/>
        <w:ind w:firstLine="240" w:firstLine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一　空家等に関する施策の実施に関する基本的な事項</w:t>
      </w:r>
    </w:p>
    <w:p>
      <w:pPr>
        <w:pStyle w:val="0"/>
        <w:ind w:firstLine="240" w:firstLine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二　次条第一項に規定する空家等対策計画に関する事項</w:t>
      </w:r>
    </w:p>
    <w:p>
      <w:pPr>
        <w:pStyle w:val="0"/>
        <w:ind w:left="450" w:leftChars="10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三　その他空家等に関する施策を総合的かつ計画的に実施するために必要な事項</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3</w:t>
      </w:r>
      <w:r>
        <w:rPr>
          <w:rFonts w:hint="eastAsia" w:ascii="HGSｺﾞｼｯｸM" w:hAnsi="HGSｺﾞｼｯｸM" w:eastAsia="HGSｺﾞｼｯｸM"/>
          <w:color w:val="auto"/>
          <w:sz w:val="24"/>
        </w:rPr>
        <w:t>　国土交通大臣及び総務大臣は、基本指針を定め、又はこれを変更しようとするときは、あらかじめ、関係行政機関の長に協議するものとする。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4</w:t>
      </w:r>
      <w:r>
        <w:rPr>
          <w:rFonts w:hint="eastAsia" w:ascii="HGSｺﾞｼｯｸM" w:hAnsi="HGSｺﾞｼｯｸM" w:eastAsia="HGSｺﾞｼｯｸM"/>
          <w:color w:val="auto"/>
          <w:sz w:val="24"/>
        </w:rPr>
        <w:t>　国土交通大臣及び総務大臣は、基本指針を定め、又はこれを変更したときは、遅滞なく、これを公表しなければならない。</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空家等対策計画</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第六条　市町村は、その区域内で空家等に関する対策を総合的かつ計画的に実施するため、基本指針に即して、空家等に関する対策についての計画</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以下「空家等対策計画」という。</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を定めることができる。</w:t>
      </w: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空家等対策計画においては、次に掲げる事項を定めるものとする。</w:t>
      </w:r>
    </w:p>
    <w:p>
      <w:pPr>
        <w:pStyle w:val="0"/>
        <w:ind w:left="450" w:leftChars="10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一　空家等に関する対策の対象とする地区及び対象とする空家等の種類その他の空家等に関する対策に関する基本的な方針</w:t>
      </w:r>
    </w:p>
    <w:p>
      <w:pPr>
        <w:pStyle w:val="0"/>
        <w:ind w:firstLine="240" w:firstLine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二　計画期間</w:t>
      </w:r>
    </w:p>
    <w:p>
      <w:pPr>
        <w:pStyle w:val="0"/>
        <w:ind w:firstLine="240" w:firstLine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三　空家等の調査に関する事項</w:t>
      </w:r>
    </w:p>
    <w:p>
      <w:pPr>
        <w:pStyle w:val="0"/>
        <w:ind w:firstLine="240" w:firstLine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四　所有者等による空家等の適切な管理の促進に関する事項</w:t>
      </w:r>
    </w:p>
    <w:p>
      <w:pPr>
        <w:pStyle w:val="0"/>
        <w:ind w:left="450" w:leftChars="10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五　空家等及び除却した空家等に係る跡地</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以下「空家等の跡地」という。</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の活用の促進に関する事項</w:t>
      </w:r>
    </w:p>
    <w:p>
      <w:pPr>
        <w:pStyle w:val="0"/>
        <w:ind w:left="450" w:leftChars="10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六　特定空家等に対する措置</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第十四条第一項の規定による助言若しくは指導、同条第二項の規定による勧告、同条第三項の規定による命令又は同条第九項若しくは第十項の規定による代執行をいう。以下同じ。</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その他の特定空家等への対処に関する事項</w:t>
      </w:r>
    </w:p>
    <w:p>
      <w:pPr>
        <w:pStyle w:val="0"/>
        <w:ind w:firstLine="240" w:firstLine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七　住民等からの空家等に関する相談への対応に関する事項</w:t>
      </w:r>
    </w:p>
    <w:p>
      <w:pPr>
        <w:pStyle w:val="0"/>
        <w:ind w:firstLine="240" w:firstLine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八　空家等に関する対策の実施体制に関する事項</w:t>
      </w:r>
    </w:p>
    <w:p>
      <w:pPr>
        <w:pStyle w:val="0"/>
        <w:ind w:firstLine="240" w:firstLine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九　その他空家等に関する対策の実施に関し必要な事項</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3</w:t>
      </w:r>
      <w:r>
        <w:rPr>
          <w:rFonts w:hint="eastAsia" w:ascii="HGSｺﾞｼｯｸM" w:hAnsi="HGSｺﾞｼｯｸM" w:eastAsia="HGSｺﾞｼｯｸM"/>
          <w:color w:val="auto"/>
          <w:sz w:val="24"/>
        </w:rPr>
        <w:t>　市町村は、空家等対策計画を定め、又はこれを変更したときは、遅滞なく、これを公表しなければならない。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4</w:t>
      </w:r>
      <w:r>
        <w:rPr>
          <w:rFonts w:hint="eastAsia" w:ascii="HGSｺﾞｼｯｸM" w:hAnsi="HGSｺﾞｼｯｸM" w:eastAsia="HGSｺﾞｼｯｸM"/>
          <w:color w:val="auto"/>
          <w:sz w:val="24"/>
        </w:rPr>
        <w:t>　市町村は、都道府県知事に対し、空家等対策計画の作成及び変更並びに実施に関し、情報の提供、技術的な助言その他必要な援助を求めることができる。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協議会</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第七条　市町村は、空家等対策計画の作成及び変更並びに実施に関する協議を行うための協議会</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以下この条において「協議会」という。</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を組織することができる。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協議会は、市町村長</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特別区の区長を含む。以下同じ。</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のほか、地域住民、市町村の議会の議員、法務、不動産、建築、福祉、文化等に関する学識経験者その他の市町村長が必要と認める者をもって構成する。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3</w:t>
      </w:r>
      <w:r>
        <w:rPr>
          <w:rFonts w:hint="eastAsia" w:ascii="HGSｺﾞｼｯｸM" w:hAnsi="HGSｺﾞｼｯｸM" w:eastAsia="HGSｺﾞｼｯｸM"/>
          <w:color w:val="auto"/>
          <w:sz w:val="24"/>
        </w:rPr>
        <w:t>　前二項に定めるもののほか、協議会の運営に関し必要な事項は、協議会が定める。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都道府県による援助</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第八条　都道府県知事は、空家等対策計画の作成及び変更並びに実施その他空家等に関しこの法律に基づき市町村が講ずる措置について、当該市町村に対する情報の提供及び技術的な助言、市町村相互間の連絡調整その他必要な援助を行うよう努めなければならない。</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立入調査等</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第九条　市町村長は、当該市町村の区域内にある空家等の所在及び当該空家等の所有者等を把握するための調査その他空家等に関しこの法律の施行のために必要な調査を行うことができる。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市町村長は、第十四条第一項から第三項までの規定の施行に必要な限度において、当該職員又はその委任した者に、空家等と認められる場所に立ち入って調査をさせることができる。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3</w:t>
      </w:r>
      <w:r>
        <w:rPr>
          <w:rFonts w:hint="eastAsia" w:ascii="HGSｺﾞｼｯｸM" w:hAnsi="HGSｺﾞｼｯｸM" w:eastAsia="HGSｺﾞｼｯｸM"/>
          <w:color w:val="auto"/>
          <w:sz w:val="24"/>
        </w:rPr>
        <w:t>　市町村長は、前項の規定により当該職員又はその委任した者を空家等と認められる場所に立ち入らせようとするときは、その五日前までに、当該空家等の所有者等にその旨を通知しなければならない。ただし、当該所有者等に対し通知することが困難であるときは、この限りで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4</w:t>
      </w:r>
      <w:r>
        <w:rPr>
          <w:rFonts w:hint="eastAsia" w:ascii="HGSｺﾞｼｯｸM" w:hAnsi="HGSｺﾞｼｯｸM" w:eastAsia="HGSｺﾞｼｯｸM"/>
          <w:color w:val="auto"/>
          <w:sz w:val="24"/>
        </w:rPr>
        <w:t>　第二項の規定により空家等と認められる場所に立ち入ろうとする者は、その身分を示す証明書を携帯し、関係者の請求があったときは、これを提示しなければならない。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5</w:t>
      </w:r>
      <w:r>
        <w:rPr>
          <w:rFonts w:hint="eastAsia" w:ascii="HGSｺﾞｼｯｸM" w:hAnsi="HGSｺﾞｼｯｸM" w:eastAsia="HGSｺﾞｼｯｸM"/>
          <w:color w:val="auto"/>
          <w:sz w:val="24"/>
        </w:rPr>
        <w:t>　第二項の規定による立入調査の権限は、犯罪捜査のために認められたものと解釈してはならない。</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空家等の所有者等に関する情報の利用等</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第十条　市町村長は、固定資産税の課税その他の事務のために利用する目的で保有する情報であって氏名その他の空家等の所有者等に関するものについては、この法律の施行のために必要な限度において、その保有に当たって特定された利用の目的以外の目的のために内部で利用す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都知事は、固定資産税の課税その他の事務で市町村が処理するものとされているもののうち特別区の存する区域においては都が処理するものとされているもののために利用する目的で都が保有する情報であって、特別区の区域内にある空家等の所有者等に関するものについて、当該特別区の区長から提供を求められたときは、この法律の施行のために必要な限度において、速やかに当該情報の提供を行うものとす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3</w:t>
      </w:r>
      <w:r>
        <w:rPr>
          <w:rFonts w:hint="eastAsia" w:ascii="HGSｺﾞｼｯｸM" w:hAnsi="HGSｺﾞｼｯｸM" w:eastAsia="HGSｺﾞｼｯｸM"/>
          <w:color w:val="auto"/>
          <w:sz w:val="24"/>
        </w:rPr>
        <w:t>　前項に定めるもののほか、市町村長は、この法律の施行のために必要があるときは、関係する地方公共団体の長その他の者に対して、空家等の所有者等の把握に関し必要な情報の提供を求めることができる。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空家等に関するデータベースの整備等</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第十一条　市町村は、空家等</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建築物を販売し、又は賃貸する事業を行う者が販売し、又は賃貸するために所有し、又は管理するもの</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周辺の生活環境に悪影響を及ぼさないよう適切に管理されているものに限る。</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を除く。以下第十三条までにおいて同じ。</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に関するデータベースの整備その他空家等に関する正確な情報を把握するために必要な措置を講ずるよう努めるものとする。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所有者等による空家等の適切な管理の促進</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第十二条　市町村は、所有者等による空家等の適切な管理を促進するため、これらの者に対し、情報の提供、助言その他必要な援助を行うよう努めるものとする。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空家等及び空家等の跡地の活用等</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第十三条　市町村は、空家等及び空家等の跡地</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土地を販売し、又は賃貸する事業を行う者が販売し、又は賃貸するために所有し、又は管理するものを除く。</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に関する情報の提供その他これらの活用のために必要な対策を講ずるよう努めるものとする。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特定空家等に対する措置</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第十四条　市町村長は、特定空家等の所有者等に対し、当該特定空家等に関し、除却、修繕、立木竹の伐採その他周辺の生活環境の保全を図るために必要な措置</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そのまま放置すれば倒壊等著しく保安上危険となるおそれのある状態又は著しく衛生上有害となるおそれのある状態にない特定空家等については、建築物の除却を除く。次項において同じ。</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をとるよう助言又は指導をすることができる。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市町村長は、前項の規定による助言又は指導をした場合において、なお当該特定空家等の状態が改善されないと認めるときは、当該助言又は指導を受けた者に対し、相当の猶予期限を付けて、除却、修繕、立木竹の伐採その他周辺の生活環境の保全を図るために必要な措置をとることを勧告す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3</w:t>
      </w:r>
      <w:r>
        <w:rPr>
          <w:rFonts w:hint="eastAsia" w:ascii="HGSｺﾞｼｯｸM" w:hAnsi="HGSｺﾞｼｯｸM" w:eastAsia="HGSｺﾞｼｯｸM"/>
          <w:color w:val="auto"/>
          <w:sz w:val="24"/>
        </w:rPr>
        <w:t>　市町村長は、前項の規定による勧告を受けた者が正当な理由がなくてその勧告に係る措置をとらなかった場合において、特に必要があると認めるときは、その者に対し、相当の猶予期限を付けて、その勧告に係る措置をとることを命ず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4</w:t>
      </w:r>
      <w:r>
        <w:rPr>
          <w:rFonts w:hint="eastAsia" w:ascii="HGSｺﾞｼｯｸM" w:hAnsi="HGSｺﾞｼｯｸM" w:eastAsia="HGSｺﾞｼｯｸM"/>
          <w:color w:val="auto"/>
          <w:sz w:val="24"/>
        </w:rPr>
        <w:t>　市町村長は、前項の措置を命じようとする場合においては、あらかじめ、その措置を命じようとする者に対し、その命じようとする措置及びその事由並びに意見書の提出先及び提出期限を記載した通知書を交付して、その措置を命じようとする者又はその代理人に意見書及び自己に有利な証拠を提出する機会を与えなければなら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5</w:t>
      </w:r>
      <w:r>
        <w:rPr>
          <w:rFonts w:hint="eastAsia" w:ascii="HGSｺﾞｼｯｸM" w:hAnsi="HGSｺﾞｼｯｸM" w:eastAsia="HGSｺﾞｼｯｸM"/>
          <w:color w:val="auto"/>
          <w:sz w:val="24"/>
        </w:rPr>
        <w:t>　前項の通知書の交付を受けた者は、その交付を受けた日から五日以内に、市町村長に対し、意見書の提出に代えて公開による意見の聴取を行うことを請求することができる。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6</w:t>
      </w:r>
      <w:r>
        <w:rPr>
          <w:rFonts w:hint="eastAsia" w:ascii="HGSｺﾞｼｯｸM" w:hAnsi="HGSｺﾞｼｯｸM" w:eastAsia="HGSｺﾞｼｯｸM"/>
          <w:color w:val="auto"/>
          <w:sz w:val="24"/>
        </w:rPr>
        <w:t>　市町村長は、前項の規定による意見の聴取の請求があった場合においては、第三項の措置を命じようとする者又はその代理人の出頭を求めて、公開による意見の聴取を行わなければならない。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7</w:t>
      </w:r>
      <w:r>
        <w:rPr>
          <w:rFonts w:hint="eastAsia" w:ascii="HGSｺﾞｼｯｸM" w:hAnsi="HGSｺﾞｼｯｸM" w:eastAsia="HGSｺﾞｼｯｸM"/>
          <w:color w:val="auto"/>
          <w:sz w:val="24"/>
        </w:rPr>
        <w:t>　市町村長は、前項の規定による意見の聴取を行う場合においては、第三項の規定によって命じようとする措置並びに意見の聴取の期日及び場所を、期日の三日前までに、前項に規定する者に通知するとともに、これを公告しなければなら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8</w:t>
      </w:r>
      <w:r>
        <w:rPr>
          <w:rFonts w:hint="eastAsia" w:ascii="HGSｺﾞｼｯｸM" w:hAnsi="HGSｺﾞｼｯｸM" w:eastAsia="HGSｺﾞｼｯｸM"/>
          <w:color w:val="auto"/>
          <w:sz w:val="24"/>
        </w:rPr>
        <w:t>　第六項に規定する者は、意見の聴取に際して、証人を出席させ、かつ、自己に有利な証拠を提出することができる。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9</w:t>
      </w:r>
      <w:r>
        <w:rPr>
          <w:rFonts w:hint="eastAsia" w:ascii="HGSｺﾞｼｯｸM" w:hAnsi="HGSｺﾞｼｯｸM" w:eastAsia="HGSｺﾞｼｯｸM"/>
          <w:color w:val="auto"/>
          <w:sz w:val="24"/>
        </w:rPr>
        <w:t>　市町村長は、第三項の規定により必要な措置を命じた場合において、その措置を命ぜられた者がその措置を履行しないとき、履行しても十分でないとき又は履行しても同項の期限までに完了する見込みがないときは、行政代執行法</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昭和二十三年法律第四十三号</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の定めるところに従い、自ら義務者のなすべき行為をし、又は第三者をしてこれをさせることができる。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10</w:t>
      </w:r>
      <w:r>
        <w:rPr>
          <w:rFonts w:hint="eastAsia" w:ascii="HGSｺﾞｼｯｸM" w:hAnsi="HGSｺﾞｼｯｸM" w:eastAsia="HGSｺﾞｼｯｸM"/>
          <w:color w:val="auto"/>
          <w:sz w:val="24"/>
        </w:rPr>
        <w:t>　第三項の規定により必要な措置を命じようとする場合において、過失がなくてその措置を命ぜられるべき者を確知することができないとき</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過失がなくて第一項の助言若しくは指導又は第二項の勧告が行われるべき者を確知することができないため第三項に定める手続により命令を行うことができないときを含む。</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は、市町村長は、その者の負担において、その措置を自ら行い、又はその命じた者若しくは委任した者に行わせることができる。この場合においては、相当の期限を定めて、その措置を行うべき旨及びその期限までにその措置を行わないときは、市町村長又はその命じた者若しくは委任した者がその措置を行うべき旨をあらかじめ公告しなければなら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11</w:t>
      </w:r>
      <w:r>
        <w:rPr>
          <w:rFonts w:hint="eastAsia" w:ascii="HGSｺﾞｼｯｸM" w:hAnsi="HGSｺﾞｼｯｸM" w:eastAsia="HGSｺﾞｼｯｸM"/>
          <w:color w:val="auto"/>
          <w:sz w:val="24"/>
        </w:rPr>
        <w:t>　市町村長は、第三項の規定による命令をした場合においては、標識の設置その他国土交通省令・総務省令で定める方法により、その旨を公示しなければならない。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12</w:t>
      </w:r>
      <w:r>
        <w:rPr>
          <w:rFonts w:hint="eastAsia" w:ascii="HGSｺﾞｼｯｸM" w:hAnsi="HGSｺﾞｼｯｸM" w:eastAsia="HGSｺﾞｼｯｸM"/>
          <w:color w:val="auto"/>
          <w:sz w:val="24"/>
        </w:rPr>
        <w:t>　前項の標識は、第三項の規定による命令に係る特定空家等に設置することができる。この場合においては、当該特定空家等の所有者等は、当該標識の設置を拒み、又は妨げてはならない。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13</w:t>
      </w:r>
      <w:r>
        <w:rPr>
          <w:rFonts w:hint="eastAsia" w:ascii="HGSｺﾞｼｯｸM" w:hAnsi="HGSｺﾞｼｯｸM" w:eastAsia="HGSｺﾞｼｯｸM"/>
          <w:color w:val="auto"/>
          <w:sz w:val="24"/>
        </w:rPr>
        <w:t>　第三項の規定による命令については、行政手続法</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平成五年法律第八十八号</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第三章</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第十二条及び第十四条を除く。</w:t>
      </w: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の規定は、適用しない。</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14</w:t>
      </w:r>
      <w:r>
        <w:rPr>
          <w:rFonts w:hint="eastAsia" w:ascii="HGSｺﾞｼｯｸM" w:hAnsi="HGSｺﾞｼｯｸM" w:eastAsia="HGSｺﾞｼｯｸM"/>
          <w:color w:val="auto"/>
          <w:sz w:val="24"/>
        </w:rPr>
        <w:t>　国土交通大臣及び総務大臣は、特定空家等に対する措置に関し、その適切な実施を図るために必要な指針を定めることができる。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15</w:t>
      </w:r>
      <w:r>
        <w:rPr>
          <w:rFonts w:hint="eastAsia" w:ascii="HGSｺﾞｼｯｸM" w:hAnsi="HGSｺﾞｼｯｸM" w:eastAsia="HGSｺﾞｼｯｸM"/>
          <w:color w:val="auto"/>
          <w:sz w:val="24"/>
        </w:rPr>
        <w:t>　前各項に定めるもののほか、特定空家等に対する措置に関し必要な事項は、国土交通省令・総務省令で定める。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財政上の措置及び税制上の措置等</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第十五条　国及び都道府県は、市町村が行う空家等対策計画に基づく空家等に関する対策の適切かつ円滑な実施に資するため、空家等に関する対策の実施に要する費用に対する補助、地方交付税制度の拡充その他の必要な財政上の措置を講ずるものとす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国及び地方公共団体は、前項に定めるもののほか、市町村が行う空家等対策計画に基づく空家等に関する対策の適切かつ円滑な実施に資するため、必要な税制上の措置その他の措置を講ずるものとする。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過料</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第十六条　第十四条第三項の規定による市町村長の命令に違反した者は、五十万円以下の過料に処する。</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第九条第二項の規定による立入調査を拒み、妨げ、又は忌避した者は、二十万円以下の過料に処する。</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附　則</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施行期日</w:t>
      </w:r>
      <w:r>
        <w:rPr>
          <w:rFonts w:hint="eastAsia" w:ascii="HGSｺﾞｼｯｸM" w:hAnsi="HGSｺﾞｼｯｸM" w:eastAsia="HGSｺﾞｼｯｸM"/>
          <w:color w:val="auto"/>
          <w:sz w:val="24"/>
        </w:rPr>
        <w:t>)</w:t>
      </w:r>
    </w:p>
    <w:p>
      <w:pPr>
        <w:pStyle w:val="0"/>
        <w:ind w:left="240" w:hanging="240" w:hangingChars="10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1</w:t>
      </w:r>
      <w:r>
        <w:rPr>
          <w:rFonts w:hint="eastAsia" w:ascii="HGSｺﾞｼｯｸM" w:hAnsi="HGSｺﾞｼｯｸM" w:eastAsia="HGSｺﾞｼｯｸM"/>
          <w:color w:val="auto"/>
          <w:sz w:val="24"/>
        </w:rPr>
        <w:t>　この法律は、公布の日から起算して三月を超えない範囲内において政令で定める日から施行する。ただし、第九条第二項から第五項まで、第十四条及び第十六条の規定は、公布の日から起算して六月を超えない範囲内において政令で定める日から施行する。</w:t>
      </w:r>
    </w:p>
    <w:p>
      <w:pPr>
        <w:pStyle w:val="0"/>
        <w:ind w:left="210" w:leftChars="100" w:firstLine="0" w:firstLineChars="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平成二七年政令第五〇号で、本文に係る部分は、平成二七年二月二六日から、ただし書に係る部分は、平成二七年五月二六日から施行</w:t>
      </w:r>
      <w:r>
        <w:rPr>
          <w:rFonts w:hint="eastAsia" w:ascii="HGSｺﾞｼｯｸM" w:hAnsi="HGSｺﾞｼｯｸM" w:eastAsia="HGSｺﾞｼｯｸM"/>
          <w:color w:val="auto"/>
          <w:sz w:val="24"/>
        </w:rPr>
        <w:t>)</w:t>
      </w:r>
    </w:p>
    <w:p>
      <w:pPr>
        <w:pStyle w:val="0"/>
        <w:rPr>
          <w:rFonts w:hint="eastAsia" w:ascii="HGSｺﾞｼｯｸM" w:hAnsi="HGSｺﾞｼｯｸM" w:eastAsia="HGSｺﾞｼｯｸM"/>
          <w:color w:val="auto"/>
          <w:sz w:val="24"/>
        </w:rPr>
      </w:pPr>
    </w:p>
    <w:p>
      <w:pPr>
        <w:pStyle w:val="0"/>
        <w:rPr>
          <w:rFonts w:hint="eastAsia" w:ascii="HGSｺﾞｼｯｸM" w:hAnsi="HGSｺﾞｼｯｸM" w:eastAsia="HGSｺﾞｼｯｸM"/>
          <w:color w:val="auto"/>
          <w:sz w:val="24"/>
        </w:rPr>
      </w:pPr>
      <w:r>
        <w:rPr>
          <w:rFonts w:hint="eastAsia" w:ascii="HGSｺﾞｼｯｸM" w:hAnsi="HGSｺﾞｼｯｸM" w:eastAsia="HGSｺﾞｼｯｸM"/>
          <w:color w:val="auto"/>
          <w:sz w:val="24"/>
        </w:rPr>
        <w:t>(</w:t>
      </w:r>
      <w:r>
        <w:rPr>
          <w:rFonts w:hint="eastAsia" w:ascii="HGSｺﾞｼｯｸM" w:hAnsi="HGSｺﾞｼｯｸM" w:eastAsia="HGSｺﾞｼｯｸM"/>
          <w:color w:val="auto"/>
          <w:sz w:val="24"/>
        </w:rPr>
        <w:t>検討</w:t>
      </w:r>
      <w:r>
        <w:rPr>
          <w:rFonts w:hint="eastAsia" w:ascii="HGSｺﾞｼｯｸM" w:hAnsi="HGSｺﾞｼｯｸM" w:eastAsia="HGSｺﾞｼｯｸM"/>
          <w:color w:val="auto"/>
          <w:sz w:val="24"/>
        </w:rPr>
        <w:t>)</w:t>
      </w:r>
    </w:p>
    <w:p>
      <w:pPr>
        <w:pStyle w:val="0"/>
        <w:ind w:left="240" w:hanging="240" w:hangingChars="100"/>
        <w:rPr>
          <w:rFonts w:hint="default" w:ascii="HGSｺﾞｼｯｸM" w:hAnsi="HGSｺﾞｼｯｸM" w:eastAsia="HGSｺﾞｼｯｸM"/>
          <w:sz w:val="22"/>
        </w:rPr>
      </w:pPr>
      <w:r>
        <w:rPr>
          <w:rFonts w:hint="eastAsia" w:ascii="HGSｺﾞｼｯｸM" w:hAnsi="HGSｺﾞｼｯｸM" w:eastAsia="HGSｺﾞｼｯｸM"/>
          <w:color w:val="auto"/>
          <w:sz w:val="24"/>
        </w:rPr>
        <w:t>2</w:t>
      </w:r>
      <w:r>
        <w:rPr>
          <w:rFonts w:hint="eastAsia" w:ascii="HGSｺﾞｼｯｸM" w:hAnsi="HGSｺﾞｼｯｸM" w:eastAsia="HGSｺﾞｼｯｸM"/>
          <w:color w:val="auto"/>
          <w:sz w:val="24"/>
        </w:rPr>
        <w:t>　政府は、この法律の施行後五年を経過した場合において、この法律の施行の状況を勘案し、必要があると認めるときは、この法律の規定について検討を加え、その結果に基づいて所要の措置を講ずるものとする。</w:t>
      </w:r>
      <w:bookmarkEnd w:id="509"/>
      <w:bookmarkEnd w:id="510"/>
      <w:bookmarkEnd w:id="511"/>
      <w:bookmarkEnd w:id="512"/>
      <w:bookmarkEnd w:id="513"/>
    </w:p>
    <w:sectPr>
      <w:footerReference r:id="rId6" w:type="default"/>
      <w:pgSz w:w="11906" w:h="16838"/>
      <w:pgMar w:top="1985" w:right="1701" w:bottom="1701" w:left="1701" w:header="851" w:footer="992" w:gutter="0"/>
      <w:pgNumType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ＭＳA.....">
    <w:panose1 w:val="00000000000000000000"/>
    <w:charset w:val="80"/>
    <w:family w:val="roman"/>
    <w:notTrueType/>
    <w:pitch w:val="fixed"/>
    <w:sig w:usb0="00000000" w:usb1="00000000" w:usb2="00000000" w:usb3="00000000" w:csb0="00000000" w:csb1="00000000"/>
  </w:font>
  <w:font w:name="ＭＳ Ｐ明朝">
    <w:panose1 w:val="00000000000000000000"/>
    <w:charset w:val="80"/>
    <w:family w:val="roma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918909099"/>
      <w:docPartObj>
        <w:docPartGallery w:val="Page Numbers (Bottom of Page)"/>
        <w:docPartUnique/>
      </w:docPartObj>
    </w:sdtPr>
    <w:sdtEndPr>
      <w:rPr>
        <w:rFonts w:hint="default"/>
      </w:rPr>
    </w:sdtEndPr>
    <w:sdtContent>
      <w:p>
        <w:pPr>
          <w:pStyle w:val="17"/>
          <w:jc w:val="center"/>
          <w:rPr>
            <w:rFonts w:hint="default"/>
          </w:rPr>
        </w:pPr>
        <w:r>
          <w:rPr>
            <w:rFonts w:hint="eastAsia"/>
          </w:rPr>
          <w:t>－</w:t>
        </w:r>
        <w:r>
          <w:rPr>
            <w:rFonts w:hint="eastAsia"/>
          </w:rPr>
          <w:fldChar w:fldCharType="begin"/>
        </w:r>
        <w:r>
          <w:rPr>
            <w:rFonts w:hint="eastAsia"/>
          </w:rPr>
          <w:instrText xml:space="preserve">PAGE  \* MERGEFORMAT </w:instrText>
        </w:r>
        <w:r>
          <w:rPr>
            <w:rFonts w:hint="eastAsia"/>
          </w:rPr>
          <w:fldChar w:fldCharType="separate"/>
        </w:r>
        <w:r>
          <w:rPr>
            <w:rFonts w:hint="default"/>
          </w:rPr>
          <w:t>29</w:t>
        </w:r>
        <w:r>
          <w:rPr>
            <w:rFonts w:hint="eastAsia"/>
          </w:rPr>
          <w:fldChar w:fldCharType="end"/>
        </w:r>
        <w:r>
          <w:rPr>
            <w:rFonts w:hint="eastAsia"/>
          </w:rPr>
          <w:t>－</w:t>
        </w:r>
      </w:p>
    </w:sdtContent>
  </w:sdt>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3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22"/>
    <w:uiPriority w:val="0"/>
    <w:qFormat/>
    <w:pPr>
      <w:keepNext w:val="1"/>
      <w:outlineLvl w:val="0"/>
    </w:pPr>
    <w:rPr>
      <w:rFonts w:asciiTheme="majorHAnsi" w:hAnsiTheme="majorHAnsi" w:eastAsiaTheme="majorEastAsia"/>
      <w:sz w:val="24"/>
    </w:rPr>
  </w:style>
  <w:style w:type="paragraph" w:styleId="2">
    <w:name w:val="heading 2"/>
    <w:basedOn w:val="0"/>
    <w:next w:val="0"/>
    <w:link w:val="24"/>
    <w:uiPriority w:val="0"/>
    <w:qFormat/>
    <w:pPr>
      <w:keepNext w:val="1"/>
      <w:outlineLvl w:val="1"/>
    </w:pPr>
    <w:rPr>
      <w:rFonts w:asciiTheme="majorHAnsi" w:hAnsiTheme="majorHAnsi" w:eastAsiaTheme="majorEastAsia"/>
    </w:rPr>
  </w:style>
  <w:style w:type="paragraph" w:styleId="3">
    <w:name w:val="heading 3"/>
    <w:basedOn w:val="0"/>
    <w:next w:val="0"/>
    <w:link w:val="25"/>
    <w:uiPriority w:val="0"/>
    <w:qFormat/>
    <w:pPr>
      <w:keepNext w:val="1"/>
      <w:ind w:left="400" w:leftChars="400"/>
      <w:outlineLvl w:val="2"/>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Hyperlink"/>
    <w:basedOn w:val="10"/>
    <w:next w:val="21"/>
    <w:link w:val="0"/>
    <w:uiPriority w:val="0"/>
    <w:rPr>
      <w:color w:val="0000FF" w:themeColor="hyperlink"/>
      <w:u w:val="single" w:color="auto"/>
    </w:rPr>
  </w:style>
  <w:style w:type="character" w:styleId="22" w:customStyle="1">
    <w:name w:val="見出し 1 (文字)"/>
    <w:basedOn w:val="10"/>
    <w:next w:val="22"/>
    <w:link w:val="1"/>
    <w:uiPriority w:val="0"/>
    <w:rPr>
      <w:rFonts w:asciiTheme="majorHAnsi" w:hAnsiTheme="majorHAnsi" w:eastAsiaTheme="majorEastAsia"/>
      <w:sz w:val="24"/>
    </w:rPr>
  </w:style>
  <w:style w:type="paragraph" w:styleId="23">
    <w:name w:val="TOC Heading"/>
    <w:basedOn w:val="1"/>
    <w:next w:val="0"/>
    <w:link w:val="0"/>
    <w:uiPriority w:val="0"/>
    <w:qFormat/>
    <w:pPr>
      <w:keepLines w:val="1"/>
      <w:widowControl w:val="1"/>
      <w:spacing w:before="480" w:beforeLines="0" w:beforeAutospacing="0" w:line="276" w:lineRule="auto"/>
      <w:jc w:val="left"/>
      <w:outlineLvl w:val="9"/>
    </w:pPr>
    <w:rPr>
      <w:b w:val="1"/>
      <w:color w:val="366092" w:themeColor="accent1" w:themeShade="BF"/>
      <w:kern w:val="0"/>
      <w:sz w:val="28"/>
    </w:rPr>
  </w:style>
  <w:style w:type="character" w:styleId="24" w:customStyle="1">
    <w:name w:val="見出し 2 (文字)"/>
    <w:basedOn w:val="10"/>
    <w:next w:val="24"/>
    <w:link w:val="2"/>
    <w:uiPriority w:val="0"/>
    <w:rPr>
      <w:rFonts w:asciiTheme="majorHAnsi" w:hAnsiTheme="majorHAnsi" w:eastAsiaTheme="majorEastAsia"/>
    </w:rPr>
  </w:style>
  <w:style w:type="character" w:styleId="25" w:customStyle="1">
    <w:name w:val="見出し 3 (文字)"/>
    <w:basedOn w:val="10"/>
    <w:next w:val="25"/>
    <w:link w:val="3"/>
    <w:uiPriority w:val="0"/>
    <w:rPr>
      <w:rFonts w:asciiTheme="majorHAnsi" w:hAnsiTheme="majorHAnsi" w:eastAsiaTheme="majorEastAsia"/>
    </w:rPr>
  </w:style>
  <w:style w:type="paragraph" w:styleId="26">
    <w:name w:val="toc 1"/>
    <w:basedOn w:val="0"/>
    <w:next w:val="0"/>
    <w:link w:val="0"/>
    <w:uiPriority w:val="0"/>
  </w:style>
  <w:style w:type="paragraph" w:styleId="27">
    <w:name w:val="toc 2"/>
    <w:basedOn w:val="0"/>
    <w:next w:val="0"/>
    <w:link w:val="0"/>
    <w:uiPriority w:val="0"/>
    <w:pPr>
      <w:ind w:left="210" w:leftChars="100"/>
    </w:pPr>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6" w:customStyle="1">
    <w:name w:val="表（シンプル 1）"/>
    <w:basedOn w:val="11"/>
    <w:next w:val="3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1.emf" /><Relationship Id="rId8" Type="http://schemas.openxmlformats.org/officeDocument/2006/relationships/image" Target="media/image2.emf" /><Relationship Id="rId9" Type="http://schemas.openxmlformats.org/officeDocument/2006/relationships/image" Target="media/image3.emf" /><Relationship Id="rId10" Type="http://schemas.openxmlformats.org/officeDocument/2006/relationships/chart" Target="charts/chart1.xml" /><Relationship Id="rId11" Type="http://schemas.microsoft.com/office/2011/relationships/commentsExtended" Target="commentsExtended.xml" /></Relationships>
</file>

<file path=word/charts/_rels/chart1.xml.rels><?xml version="1.0" encoding="UTF-8"?><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a="http://schemas.openxmlformats.org/drawingml/2006/main" xmlns:r="http://schemas.openxmlformats.org/officeDocument/2006/relationships" xmlns:c="http://schemas.openxmlformats.org/drawingml/20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=Sheet1!$C$37</c:f>
              <c:strCache>
                <c:ptCount val="1"/>
                <c:pt idx="0">
                  <c:v>住宅総数</c:v>
                </c:pt>
              </c:strCache>
            </c:strRef>
          </c:tx>
          <c:spPr>
            <a:pattFill prst="pct25">
              <a:fgClr>
                <a:schemeClr val="accent1"/>
              </a:fgClr>
              <a:bgClr>
                <a:schemeClr val="bg1"/>
              </a:bgClr>
            </a:pattFill>
          </c:spPr>
          <c:invertIfNegative val="0"/>
          <c:dLbls>
            <c:txPr>
              <a:bodyPr rot="0" horzOverflow="overflow" anchor="ctr" anchorCtr="1"/>
              <a:lstStyle/>
              <a:p>
                <a:pPr algn="ctr" rtl="0">
                  <a:defRPr sz="1000">
                    <a:solidFill>
                      <a:schemeClr val="tx1"/>
                    </a:solidFill>
                    <a:latin typeface="HGPｺﾞｼｯｸM"/>
                    <a:ea typeface="HGPｺﾞｼｯｸM"/>
                  </a:defRPr>
                </a:pPr>
                <a:endParaRPr lang="ja-JP" altLang="en-US"/>
              </a:p>
            </c:txPr>
            <c:showLegendKey val="0"/>
            <c:showVal val="1"/>
            <c:showCatName val="0"/>
            <c:showSerName val="0"/>
            <c:showPercent val="0"/>
            <c:showBubbleSize val="0"/>
          </c:dLbls>
          <c:cat>
            <c:strRef>
              <c:f>=Sheet1!$B$38:$B$40</c:f>
              <c:strCache>
                <c:ptCount val="3"/>
                <c:pt idx="0">
                  <c:v>2008年
（平成20年）</c:v>
                </c:pt>
                <c:pt idx="1">
                  <c:v>2013年
（平成25年）</c:v>
                </c:pt>
                <c:pt idx="2">
                  <c:v>2018年
（平成30年）</c:v>
                </c:pt>
              </c:strCache>
            </c:strRef>
          </c:cat>
          <c:val>
            <c:numRef>
              <c:f>=Sheet1!$C$38:$C$40</c:f>
              <c:numCache>
                <c:formatCode>#,##0;[Red]\-#,##0</c:formatCode>
                <c:ptCount val="3"/>
                <c:pt idx="0">
                  <c:v>16200</c:v>
                </c:pt>
                <c:pt idx="1">
                  <c:v>16290</c:v>
                </c:pt>
                <c:pt idx="2">
                  <c:v>16560</c:v>
                </c:pt>
              </c:numCache>
            </c:numRef>
          </c:val>
        </c:ser>
        <c:ser>
          <c:idx val="1"/>
          <c:order val="1"/>
          <c:tx>
            <c:strRef>
              <c:f>=Sheet1!$D$37</c:f>
              <c:strCache>
                <c:ptCount val="1"/>
                <c:pt idx="0">
                  <c:v>空き家数</c:v>
                </c:pt>
              </c:strCache>
            </c:strRef>
          </c:tx>
          <c:spPr>
            <a:solidFill>
              <a:schemeClr val="accent1"/>
            </a:solidFill>
          </c:spPr>
          <c:invertIfNegative val="0"/>
          <c:dPt>
            <c:idx val="0"/>
            <c:invertIfNegative val="0"/>
            <c:bubble3D val="0"/>
          </c:dPt>
          <c:dLbls>
            <c:dLbl>
              <c:idx val="0"/>
              <c:layout/>
              <c:txPr>
                <a:bodyPr>
                  <a:spAutoFit/>
                </a:bodyPr>
                <a:lstStyle/>
                <a:p>
                  <a:pPr>
                    <a:defRPr kumimoji="0" sz="1000" kern="1200">
                      <a:solidFill>
                        <a:schemeClr val="tx1"/>
                      </a:solidFill>
                      <a:latin typeface="HGPｺﾞｼｯｸM"/>
                      <a:ea typeface="HGPｺﾞｼｯｸM"/>
                    </a:defRPr>
                  </a:pPr>
                  <a:endParaRPr lang="ja-JP" altLang="en-US">
                    <a:latin typeface="HGPｺﾞｼｯｸM"/>
                    <a:ea typeface="HGPｺﾞｼｯｸM"/>
                  </a:endParaRPr>
                </a:p>
              </c:txPr>
              <c:showLegendKey val="0"/>
              <c:showVal val="1"/>
              <c:showCatName val="0"/>
              <c:showSerName val="0"/>
              <c:showPercent val="0"/>
              <c:showBubbleSize val="0"/>
            </c:dLbl>
            <c:txPr>
              <a:bodyPr rot="0" horzOverflow="overflow" lIns="36576" tIns="18288" rIns="36576" bIns="18288" anchor="ctr" anchorCtr="1">
                <a:spAutoFit/>
              </a:bodyPr>
              <a:lstStyle/>
              <a:p>
                <a:pPr algn="ctr" rtl="0">
                  <a:defRPr kumimoji="0" sz="1000" kern="1200">
                    <a:solidFill>
                      <a:schemeClr val="tx1"/>
                    </a:solidFill>
                    <a:latin typeface="HGPｺﾞｼｯｸM"/>
                    <a:ea typeface="HGPｺﾞｼｯｸM"/>
                  </a:defRPr>
                </a:pPr>
                <a:endParaRPr lang="ja-JP" altLang="en-US"/>
              </a:p>
            </c:txPr>
            <c:showLegendKey val="0"/>
            <c:showVal val="1"/>
            <c:showCatName val="0"/>
            <c:showSerName val="0"/>
            <c:showPercent val="0"/>
            <c:showBubbleSize val="0"/>
          </c:dLbls>
          <c:cat>
            <c:strRef>
              <c:f>=Sheet1!$B$38:$B$40</c:f>
              <c:strCache>
                <c:ptCount val="3"/>
                <c:pt idx="0">
                  <c:v>2008年
（平成20年）</c:v>
                </c:pt>
                <c:pt idx="1">
                  <c:v>2013年
（平成25年）</c:v>
                </c:pt>
                <c:pt idx="2">
                  <c:v>2018年
（平成30年）</c:v>
                </c:pt>
              </c:strCache>
            </c:strRef>
          </c:cat>
          <c:val>
            <c:numRef>
              <c:f>=Sheet1!$D$38:$D$40</c:f>
              <c:numCache>
                <c:formatCode>#,##0;[Red]\-#,##0</c:formatCode>
                <c:ptCount val="3"/>
                <c:pt idx="0">
                  <c:v>2130</c:v>
                </c:pt>
                <c:pt idx="1">
                  <c:v>3290</c:v>
                </c:pt>
                <c:pt idx="2">
                  <c:v>3210</c:v>
                </c:pt>
              </c:numCache>
            </c:numRef>
          </c:val>
        </c:ser>
        <c:dLbls>
          <c:txPr>
            <a:bodyPr rot="0" horzOverflow="overflow" anchor="ctr" anchorCtr="1">
              <a:spAutoFit/>
            </a:bodyPr>
            <a:lstStyle/>
            <a:p>
              <a:pPr algn="ctr" rtl="0">
                <a:defRPr sz="1000">
                  <a:solidFill>
                    <a:schemeClr val="tx1"/>
                  </a:solidFill>
                </a:defRPr>
              </a:pPr>
              <a:endParaRPr lang="ja-JP" altLang="en-US"/>
            </a:p>
          </c:txPr>
          <c:showLegendKey val="0"/>
          <c:showVal val="0"/>
          <c:showCatName val="0"/>
          <c:showSerName val="0"/>
          <c:showPercent val="0"/>
          <c:showBubbleSize val="0"/>
        </c:dLbls>
        <c:gapWidth val="150"/>
        <c:overlap val="0"/>
        <c:axId val="1"/>
        <c:axId val="2"/>
      </c:barChart>
      <c:lineChart>
        <c:grouping val="standard"/>
        <c:varyColors val="0"/>
        <c:ser>
          <c:idx val="2"/>
          <c:order val="2"/>
          <c:tx>
            <c:strRef>
              <c:f>=Sheet1!$E$37</c:f>
              <c:strCache>
                <c:ptCount val="1"/>
                <c:pt idx="0">
                  <c:v>空き家率</c:v>
                </c:pt>
              </c:strCache>
            </c:strRef>
          </c:tx>
          <c:dPt>
            <c:idx val="1"/>
            <c:invertIfNegative val="0"/>
            <c:bubble3D val="0"/>
          </c:dPt>
          <c:dLbls>
            <c:dLbl>
              <c:idx val="1"/>
              <c:layout>
                <c:manualLayout>
                  <c:x val="-1.1820330969267139e-002"/>
                  <c:y val="5.0925925925925923e-002"/>
                </c:manualLayout>
              </c:layout>
              <c:txPr>
                <a:bodyPr/>
                <a:lstStyle/>
                <a:p>
                  <a:pPr>
                    <a:defRPr sz="1000">
                      <a:solidFill>
                        <a:schemeClr val="tx1"/>
                      </a:solidFill>
                      <a:latin typeface="HGPｺﾞｼｯｸM"/>
                      <a:ea typeface="HGPｺﾞｼｯｸM"/>
                    </a:defRPr>
                  </a:pPr>
                  <a:endParaRPr lang="ja-JP" altLang="en-US"/>
                </a:p>
              </c:txPr>
              <c:showLegendKey val="0"/>
              <c:showVal val="1"/>
              <c:showCatName val="0"/>
              <c:showSerName val="0"/>
              <c:showPercent val="0"/>
              <c:showBubbleSize val="0"/>
            </c:dLbl>
            <c:txPr>
              <a:bodyPr rot="0" horzOverflow="overflow" anchor="ctr" anchorCtr="1"/>
              <a:lstStyle/>
              <a:p>
                <a:pPr algn="ctr" rtl="0">
                  <a:defRPr sz="1000">
                    <a:solidFill>
                      <a:schemeClr val="tx1"/>
                    </a:solidFill>
                    <a:latin typeface="HGPｺﾞｼｯｸM"/>
                    <a:ea typeface="HGPｺﾞｼｯｸM"/>
                  </a:defRPr>
                </a:pPr>
                <a:endParaRPr lang="ja-JP" altLang="en-US"/>
              </a:p>
            </c:txPr>
            <c:showLegendKey val="0"/>
            <c:showVal val="1"/>
            <c:showCatName val="0"/>
            <c:showSerName val="0"/>
            <c:showPercent val="0"/>
            <c:showBubbleSize val="0"/>
          </c:dLbls>
          <c:cat>
            <c:strRef>
              <c:f>=Sheet1!$B$38:$B$40</c:f>
              <c:strCache>
                <c:ptCount val="3"/>
                <c:pt idx="0">
                  <c:v>2008年
（平成20年）</c:v>
                </c:pt>
                <c:pt idx="1">
                  <c:v>2013年
（平成25年）</c:v>
                </c:pt>
                <c:pt idx="2">
                  <c:v>2018年
（平成30年）</c:v>
                </c:pt>
              </c:strCache>
            </c:strRef>
          </c:cat>
          <c:val>
            <c:numRef>
              <c:f>=Sheet1!$E$38:$E$40</c:f>
              <c:numCache>
                <c:formatCode>0.0%</c:formatCode>
                <c:ptCount val="3"/>
                <c:pt idx="0">
                  <c:v>0.13148148148148101</c:v>
                </c:pt>
                <c:pt idx="1">
                  <c:v>0.20196439533456101</c:v>
                </c:pt>
                <c:pt idx="2">
                  <c:v>0.19384057971014501</c:v>
                </c:pt>
              </c:numCache>
            </c:numRef>
          </c:val>
          <c:smooth val="0"/>
        </c:ser>
        <c:dLbls>
          <c:txPr>
            <a:bodyPr rot="0" horzOverflow="overflow" anchor="ctr" anchorCtr="1">
              <a:spAutoFit/>
            </a:bodyPr>
            <a:lstStyle/>
            <a:p>
              <a:pPr algn="ctr" rtl="0">
                <a:defRPr sz="1000">
                  <a:solidFill>
                    <a:schemeClr val="tx1"/>
                  </a:solidFill>
                </a:defRPr>
              </a:pPr>
              <a:endParaRPr lang="ja-JP" altLang="en-US"/>
            </a:p>
          </c:txPr>
          <c:showLegendKey val="0"/>
          <c:showVal val="0"/>
          <c:showCatName val="0"/>
          <c:showSerName val="0"/>
          <c:showPercent val="0"/>
          <c:showBubbleSize val="0"/>
        </c:dLbls>
        <c:marker val="1"/>
        <c:smooth val="0"/>
        <c:axId val="11"/>
        <c:axId val="12"/>
      </c:lineChart>
      <c:catAx>
        <c:axId val="1"/>
        <c:scaling>
          <c:orientation val="minMax"/>
        </c:scaling>
        <c:delete val="0"/>
        <c:axPos val="b"/>
        <c:numFmt formatCode="#,##0;[Red]\-#,##0" sourceLinked="1"/>
        <c:majorTickMark val="out"/>
        <c:minorTickMark val="none"/>
        <c:tickLblPos val="nextTo"/>
        <c:txPr>
          <a:bodyPr horzOverflow="overflow" anchor="ctr" anchorCtr="1"/>
          <a:lstStyle/>
          <a:p>
            <a:pPr algn="ctr" rtl="0">
              <a:defRPr sz="1000">
                <a:solidFill>
                  <a:schemeClr val="tx1"/>
                </a:solidFill>
                <a:latin typeface="HGPｺﾞｼｯｸM"/>
                <a:ea typeface="HGPｺﾞｼｯｸM"/>
              </a:defRPr>
            </a:pPr>
            <a:endParaRPr lang="ja-JP" altLang="en-US"/>
          </a:p>
        </c:txPr>
        <c:crossAx val="2"/>
        <c:crosses val="autoZero"/>
        <c:auto val="1"/>
        <c:lblAlgn val="ctr"/>
        <c:lblOffset val="100"/>
        <c:noMultiLvlLbl val="0"/>
      </c:catAx>
      <c:valAx>
        <c:axId val="2"/>
        <c:scaling>
          <c:orientation val="minMax"/>
        </c:scaling>
        <c:delete val="0"/>
        <c:axPos val="l"/>
        <c:majorGridlines/>
        <c:numFmt formatCode="#,##0;[Red]\-#,##0" sourceLinked="1"/>
        <c:majorTickMark val="out"/>
        <c:minorTickMark val="none"/>
        <c:tickLblPos val="nextTo"/>
        <c:txPr>
          <a:bodyPr horzOverflow="overflow" anchor="ctr" anchorCtr="1"/>
          <a:lstStyle/>
          <a:p>
            <a:pPr algn="ctr" rtl="0">
              <a:defRPr sz="1000">
                <a:solidFill>
                  <a:schemeClr val="tx1"/>
                </a:solidFill>
                <a:latin typeface="HGPｺﾞｼｯｸM"/>
                <a:ea typeface="HGPｺﾞｼｯｸM"/>
              </a:defRPr>
            </a:pPr>
            <a:endParaRPr lang="ja-JP" altLang="en-US"/>
          </a:p>
        </c:txPr>
        <c:crossAx val="1"/>
        <c:crosses val="autoZero"/>
        <c:crossBetween val="between"/>
      </c:valAx>
      <c:catAx>
        <c:axId val="11"/>
        <c:scaling>
          <c:orientation val="minMax"/>
        </c:scaling>
        <c:delete val="1"/>
        <c:axPos val="b"/>
        <c:numFmt formatCode="0.0%" sourceLinked="1"/>
        <c:majorTickMark val="out"/>
        <c:minorTickMark val="none"/>
        <c:tickLblPos val="nextTo"/>
        <c:txPr>
          <a:bodyPr horzOverflow="overflow" anchor="ctr" anchorCtr="1"/>
          <a:lstStyle/>
          <a:p>
            <a:pPr algn="ctr" rtl="0">
              <a:defRPr sz="1000">
                <a:solidFill>
                  <a:schemeClr val="tx1"/>
                </a:solidFill>
              </a:defRPr>
            </a:pPr>
            <a:endParaRPr lang="ja-JP" altLang="en-US"/>
          </a:p>
        </c:txPr>
        <c:crossAx val="12"/>
        <c:crosses val="autoZero"/>
        <c:auto val="1"/>
        <c:lblAlgn val="ctr"/>
        <c:lblOffset val="100"/>
        <c:noMultiLvlLbl val="0"/>
      </c:catAx>
      <c:valAx>
        <c:axId val="12"/>
        <c:scaling>
          <c:orientation val="minMax"/>
        </c:scaling>
        <c:delete val="0"/>
        <c:axPos val="r"/>
        <c:numFmt formatCode="0.0%" sourceLinked="1"/>
        <c:majorTickMark val="out"/>
        <c:minorTickMark val="none"/>
        <c:tickLblPos val="nextTo"/>
        <c:txPr>
          <a:bodyPr horzOverflow="overflow" anchor="ctr" anchorCtr="1"/>
          <a:lstStyle/>
          <a:p>
            <a:pPr algn="ctr" rtl="0">
              <a:defRPr sz="1000">
                <a:solidFill>
                  <a:schemeClr val="tx1"/>
                </a:solidFill>
                <a:latin typeface="HGPｺﾞｼｯｸM"/>
                <a:ea typeface="HGPｺﾞｼｯｸM"/>
              </a:defRPr>
            </a:pPr>
            <a:endParaRPr lang="ja-JP" altLang="en-US"/>
          </a:p>
        </c:txPr>
        <c:crossAx val="11"/>
        <c:crosses val="max"/>
        <c:crossBetween val="between"/>
      </c:valAx>
    </c:plotArea>
    <c:legend>
      <c:legendPos val="r"/>
      <c:layout/>
      <c:overlay val="0"/>
      <c:txPr>
        <a:bodyPr horzOverflow="overflow" anchor="ctr" anchorCtr="1"/>
        <a:lstStyle/>
        <a:p>
          <a:pPr algn="l" rtl="0">
            <a:defRPr sz="1000">
              <a:solidFill>
                <a:schemeClr val="tx1"/>
              </a:solidFill>
              <a:latin typeface="HGPｺﾞｼｯｸM"/>
              <a:ea typeface="HGPｺﾞｼｯｸM"/>
            </a:defRPr>
          </a:pPr>
          <a:endParaRPr lang="ja-JP" altLang="en-US"/>
        </a:p>
      </c:txPr>
    </c:legend>
    <c:plotVisOnly val="1"/>
    <c:dispBlanksAs val="gap"/>
    <c:showDLblsOverMax val="0"/>
  </c:chart>
  <c:spPr>
    <a:ln w="25400">
      <a:solidFill>
        <a:schemeClr val="accent3">
          <a:lumMod val="60000"/>
          <a:lumOff val="40000"/>
        </a:schemeClr>
      </a:solidFill>
    </a:ln>
  </c:spPr>
  <c:txPr>
    <a:bodyPr horzOverflow="overflow" anchor="ctr" anchorCtr="1"/>
    <a:lstStyle/>
    <a:p>
      <a:pPr algn="ctr" rtl="0">
        <a:defRPr lang="ja-JP" altLang="en-US" sz="1000">
          <a:solidFill>
            <a:schemeClr val="tx1"/>
          </a:solidFill>
        </a:defRPr>
      </a:pPr>
      <a:endParaRPr lang="ja-JP" altLang="en-US"/>
    </a:p>
  </c:txPr>
  <c:externalData r:id="rId1">
    <c:autoUpdate val="0"/>
  </c:externalData>
  <c:extLst>
    <c:ext xmlns:c14="http://schemas.microsoft.com/office/drawing/2007/8/2/chart" uri="{781A3756-C4B2-4CAC-9D66-4F8BD8637D16}"/>
  </c:extLst>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noFill/>
        <a:ln w="15875">
          <a:solidFill>
            <a:schemeClr val="tx1"/>
          </a:solidFill>
        </a:ln>
      </a:spPr>
      <a:bodyPr vertOverflow="overflow" horzOverflow="overflow"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5070</TotalTime>
  <Pages>32</Pages>
  <Words>191</Words>
  <Characters>17633</Characters>
  <Application>Microsoft Office Word</Application>
  <Lines>5467</Lines>
  <Paragraphs>499</Paragraphs>
  <Company>南丹市役所</Company>
  <CharactersWithSpaces>18295</CharactersWithSpaces>
  <AppVersion>1.20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南丹市役所</dc:creator>
  <cp:lastModifiedBy>Administrator</cp:lastModifiedBy>
  <cp:lastPrinted>2021-03-31T02:56:17Z</cp:lastPrinted>
  <dcterms:created xsi:type="dcterms:W3CDTF">2019-09-27T02:59:00Z</dcterms:created>
  <dcterms:modified xsi:type="dcterms:W3CDTF">2021-03-30T06:54:11Z</dcterms:modified>
  <cp:revision>39</cp:revision>
</cp:coreProperties>
</file>