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00" w:lineRule="exact"/>
        <w:jc w:val="center"/>
        <w:rPr>
          <w:rFonts w:hint="default" w:ascii="ＭＳ 明朝" w:hAnsi="ＭＳ 明朝"/>
          <w:kern w:val="0"/>
          <w:sz w:val="28"/>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4912995</wp:posOffset>
                </wp:positionH>
                <wp:positionV relativeFrom="paragraph">
                  <wp:posOffset>-512445</wp:posOffset>
                </wp:positionV>
                <wp:extent cx="762000" cy="34290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762000" cy="342900"/>
                        </a:xfrm>
                        <a:prstGeom prst="rect">
                          <a:avLst/>
                        </a:prstGeom>
                        <a:solidFill>
                          <a:sysClr val="window" lastClr="FFFFFF"/>
                        </a:solidFill>
                        <a:ln w="25400" cap="flat" cmpd="sng" algn="ctr">
                          <a:solidFill>
                            <a:sysClr val="windowText" lastClr="000000"/>
                          </a:solidFill>
                          <a:prstDash val="solid"/>
                        </a:ln>
                        <a:effectLst/>
                      </wps:spPr>
                      <wps:txbx>
                        <w:txbxContent>
                          <w:p>
                            <w:pPr>
                              <w:pStyle w:val="0"/>
                              <w:jc w:val="center"/>
                              <w:rPr>
                                <w:rFonts w:hint="default"/>
                              </w:rPr>
                            </w:pPr>
                            <w:r>
                              <w:rPr>
                                <w:rFonts w:hint="eastAsia"/>
                              </w:rPr>
                              <w:t>別紙</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wrap-distance-right:9pt;mso-wrap-distance-bottom:0pt;margin-top:-40.35pt;mso-position-vertical-relative:text;mso-position-horizontal-relative:text;v-text-anchor:middle;position:absolute;height:27pt;mso-wrap-distance-top:0pt;width:60pt;mso-wrap-distance-left:9pt;margin-left:386.85pt;z-index:3;" o:spid="_x0000_s1026" o:allowincell="t" o:allowoverlap="t" filled="t" fillcolor="#ffffff" stroked="t" strokecolor="#000000" strokeweight="2pt" o:spt="1">
                <v:fill/>
                <v:stroke linestyle="single" endcap="flat" dashstyle="solid" filltype="solid"/>
                <v:textbox style="layout-flow:horizontal;">
                  <w:txbxContent>
                    <w:p>
                      <w:pPr>
                        <w:pStyle w:val="0"/>
                        <w:jc w:val="center"/>
                        <w:rPr>
                          <w:rFonts w:hint="default"/>
                        </w:rPr>
                      </w:pPr>
                      <w:r>
                        <w:rPr>
                          <w:rFonts w:hint="eastAsia"/>
                        </w:rPr>
                        <w:t>別紙</w:t>
                      </w:r>
                    </w:p>
                  </w:txbxContent>
                </v:textbox>
                <v:imagedata o:title=""/>
                <w10:wrap type="none" anchorx="text" anchory="text"/>
              </v:rect>
            </w:pict>
          </mc:Fallback>
        </mc:AlternateContent>
      </w:r>
      <w:r>
        <w:rPr>
          <w:rFonts w:hint="eastAsia" w:ascii="ＭＳ 明朝" w:hAnsi="ＭＳ 明朝"/>
          <w:kern w:val="0"/>
          <w:sz w:val="28"/>
        </w:rPr>
        <w:t>「申請不動産に関する事項」の記載要領</w:t>
      </w:r>
    </w:p>
    <w:p>
      <w:pPr>
        <w:pStyle w:val="0"/>
        <w:spacing w:line="300" w:lineRule="exac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-241935</wp:posOffset>
                </wp:positionH>
                <wp:positionV relativeFrom="paragraph">
                  <wp:posOffset>6350</wp:posOffset>
                </wp:positionV>
                <wp:extent cx="6076950" cy="2505075"/>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a:spLocks noChangeArrowheads="1"/>
                      </wps:cNvSpPr>
                      <wps:spPr>
                        <a:xfrm>
                          <a:off x="0" y="0"/>
                          <a:ext cx="6076950" cy="2505075"/>
                        </a:xfrm>
                        <a:prstGeom prst="rect">
                          <a:avLst/>
                        </a:prstGeom>
                        <a:noFill/>
                        <a:ln w="9525" cap="flat">
                          <a:solidFill>
                            <a:srgbClr val="000000"/>
                          </a:solidFill>
                          <a:prstDash val="dash"/>
                          <a:miter lim="800000"/>
                          <a:headEnd/>
                          <a:tailEnd/>
                        </a:ln>
                      </wps:spPr>
                      <wps:bodyPr/>
                    </wps:wsp>
                  </a:graphicData>
                </a:graphic>
              </wp:anchor>
            </w:drawing>
          </mc:Choice>
          <mc:Fallback>
            <w:pict>
              <v:rect id="正方形/長方形 1" style="mso-wrap-distance-right:9pt;mso-wrap-distance-bottom:0pt;margin-top:0.5pt;mso-position-vertical-relative:text;mso-position-horizontal-relative:text;position:absolute;height:197.25pt;mso-wrap-distance-top:0pt;width:478.5pt;mso-wrap-distance-left:9pt;margin-left:-19.05pt;z-index:2;" o:spid="_x0000_s1027" o:allowincell="t" o:allowoverlap="t" filled="f" stroked="t" strokecolor="#000000" strokeweight="0.75pt" o:spt="1">
                <v:fill/>
                <v:stroke miterlimit="8" endcap="flat" dashstyle="dash" filltype="solid"/>
                <v:textbox style="layout-flow:horizontal;"/>
                <v:imagedata o:title=""/>
                <w10:wrap type="none" anchorx="text" anchory="text"/>
              </v:rect>
            </w:pict>
          </mc:Fallback>
        </mc:AlternateContent>
      </w:r>
      <w:r>
        <w:rPr>
          <w:rFonts w:hint="eastAsia"/>
        </w:rPr>
        <w:t>○　申請不動産に関する事項</w:t>
      </w:r>
    </w:p>
    <w:p>
      <w:pPr>
        <w:pStyle w:val="0"/>
        <w:spacing w:line="300" w:lineRule="exact"/>
        <w:ind w:firstLine="210" w:firstLineChars="100"/>
        <w:rPr>
          <w:rFonts w:hint="default"/>
        </w:rPr>
      </w:pPr>
      <w:r>
        <w:rPr>
          <w:rFonts w:hint="eastAsia"/>
        </w:rPr>
        <w:t>・建物</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43"/>
        <w:gridCol w:w="2127"/>
        <w:gridCol w:w="3827"/>
      </w:tblGrid>
      <w:tr>
        <w:trPr/>
        <w:tc>
          <w:tcPr>
            <w:tcW w:w="2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center"/>
              <w:rPr>
                <w:rFonts w:hint="default"/>
              </w:rPr>
            </w:pPr>
            <w:r>
              <w:rPr>
                <w:rFonts w:hint="eastAsia"/>
              </w:rPr>
              <w:t>名　　　　称</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center"/>
              <w:rPr>
                <w:rFonts w:hint="default"/>
              </w:rPr>
            </w:pPr>
            <w:r>
              <w:rPr>
                <w:rFonts w:hint="eastAsia"/>
              </w:rPr>
              <w:t>延　床　面　積</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center"/>
              <w:rPr>
                <w:rFonts w:hint="default"/>
              </w:rPr>
            </w:pPr>
            <w:r>
              <w:rPr>
                <w:rFonts w:hint="eastAsia"/>
              </w:rPr>
              <w:t>所　　在　　地</w:t>
            </w:r>
          </w:p>
        </w:tc>
      </w:tr>
      <w:tr>
        <w:trPr/>
        <w:tc>
          <w:tcPr>
            <w:tcW w:w="2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rPr>
                <w:rFonts w:hint="default"/>
                <w:b w:val="1"/>
              </w:rPr>
            </w:pPr>
            <w:r>
              <w:rPr>
                <w:rFonts w:hint="eastAsia"/>
                <w:b w:val="1"/>
              </w:rPr>
              <w:t>○○町〇〇区公民館</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rPr>
                <w:rFonts w:hint="default"/>
                <w:b w:val="1"/>
              </w:rPr>
            </w:pPr>
            <w:r>
              <w:rPr>
                <w:rFonts w:hint="eastAsia"/>
                <w:b w:val="1"/>
              </w:rPr>
              <w:t>○○．○○㎡</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rPr>
                <w:rFonts w:hint="default"/>
                <w:b w:val="1"/>
              </w:rPr>
            </w:pPr>
            <w:r>
              <w:rPr>
                <w:rFonts w:hint="eastAsia"/>
                <w:b w:val="1"/>
              </w:rPr>
              <w:t>所在：南丹市■■町▲▲番地</w:t>
            </w:r>
          </w:p>
          <w:p>
            <w:pPr>
              <w:pStyle w:val="0"/>
              <w:spacing w:line="300" w:lineRule="exact"/>
              <w:rPr>
                <w:rFonts w:hint="default"/>
                <w:b w:val="1"/>
              </w:rPr>
            </w:pPr>
            <w:r>
              <w:rPr>
                <w:rFonts w:hint="eastAsia"/>
                <w:b w:val="1"/>
              </w:rPr>
              <w:t>家屋番号：●番</w:t>
            </w:r>
          </w:p>
        </w:tc>
      </w:tr>
    </w:tbl>
    <w:p>
      <w:pPr>
        <w:pStyle w:val="0"/>
        <w:spacing w:line="300" w:lineRule="exact"/>
        <w:ind w:firstLine="210" w:firstLineChars="100"/>
        <w:rPr>
          <w:rFonts w:hint="default"/>
        </w:rPr>
      </w:pPr>
      <w:r>
        <w:rPr>
          <w:rFonts w:hint="eastAsia"/>
        </w:rPr>
        <w:t>・土地</w:t>
      </w: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00"/>
        <w:gridCol w:w="2170"/>
        <w:gridCol w:w="3827"/>
      </w:tblGrid>
      <w:tr>
        <w:trPr/>
        <w:tc>
          <w:tcPr>
            <w:tcW w:w="2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center"/>
              <w:rPr>
                <w:rFonts w:hint="default"/>
              </w:rPr>
            </w:pPr>
            <w:r>
              <w:rPr>
                <w:rFonts w:hint="eastAsia"/>
              </w:rPr>
              <w:t>地　　　　目</w:t>
            </w:r>
          </w:p>
        </w:tc>
        <w:tc>
          <w:tcPr>
            <w:tcW w:w="2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center"/>
              <w:rPr>
                <w:rFonts w:hint="default"/>
              </w:rPr>
            </w:pPr>
            <w:r>
              <w:rPr>
                <w:rFonts w:hint="eastAsia"/>
              </w:rPr>
              <w:t>面　　　　積</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center"/>
              <w:rPr>
                <w:rFonts w:hint="default"/>
              </w:rPr>
            </w:pPr>
            <w:r>
              <w:rPr>
                <w:rFonts w:hint="eastAsia"/>
              </w:rPr>
              <w:t>所　　在　　地</w:t>
            </w:r>
          </w:p>
        </w:tc>
      </w:tr>
      <w:tr>
        <w:trPr/>
        <w:tc>
          <w:tcPr>
            <w:tcW w:w="2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rPr>
                <w:rFonts w:hint="default"/>
                <w:b w:val="1"/>
              </w:rPr>
            </w:pPr>
            <w:r>
              <w:rPr>
                <w:rFonts w:hint="eastAsia"/>
                <w:b w:val="1"/>
              </w:rPr>
              <w:t>宅地</w:t>
            </w:r>
          </w:p>
        </w:tc>
        <w:tc>
          <w:tcPr>
            <w:tcW w:w="2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rPr>
                <w:rFonts w:hint="default"/>
                <w:b w:val="1"/>
              </w:rPr>
            </w:pPr>
            <w:r>
              <w:rPr>
                <w:rFonts w:hint="eastAsia"/>
                <w:b w:val="1"/>
              </w:rPr>
              <w:t>○○．○○㎡</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rPr>
                <w:rFonts w:hint="default"/>
                <w:b w:val="1"/>
              </w:rPr>
            </w:pPr>
            <w:r>
              <w:rPr>
                <w:rFonts w:hint="eastAsia"/>
                <w:b w:val="1"/>
              </w:rPr>
              <w:t>南丹市■■町▲▲番地</w:t>
            </w:r>
          </w:p>
        </w:tc>
      </w:tr>
    </w:tbl>
    <w:p>
      <w:pPr>
        <w:pStyle w:val="0"/>
        <w:spacing w:line="300" w:lineRule="exact"/>
        <w:ind w:firstLine="210" w:firstLineChars="100"/>
        <w:rPr>
          <w:rFonts w:hint="default"/>
        </w:rPr>
      </w:pPr>
      <w:r>
        <w:rPr>
          <w:rFonts w:hint="eastAsia"/>
        </w:rPr>
        <w:t>・表題部所有者又は所有権の登記名義人の氏名又は名称及び住所</w:t>
      </w:r>
    </w:p>
    <w:p>
      <w:pPr>
        <w:pStyle w:val="15"/>
        <w:numPr>
          <w:ilvl w:val="0"/>
          <w:numId w:val="1"/>
        </w:numPr>
        <w:spacing w:line="300" w:lineRule="exact"/>
        <w:ind w:leftChars="0"/>
        <w:rPr>
          <w:rFonts w:hint="default"/>
        </w:rPr>
      </w:pPr>
      <w:r>
        <w:rPr>
          <w:rFonts w:hint="eastAsia"/>
          <w:b w:val="1"/>
        </w:rPr>
        <w:t>○○町〇〇</w:t>
      </w:r>
      <w:bookmarkStart w:id="0" w:name="_GoBack"/>
      <w:bookmarkEnd w:id="0"/>
      <w:r>
        <w:rPr>
          <w:rFonts w:hint="eastAsia"/>
          <w:b w:val="1"/>
        </w:rPr>
        <w:t>区公民館</w:t>
      </w:r>
    </w:p>
    <w:p>
      <w:pPr>
        <w:pStyle w:val="0"/>
        <w:spacing w:line="300" w:lineRule="exact"/>
        <w:ind w:firstLine="632" w:firstLineChars="300"/>
        <w:rPr>
          <w:rFonts w:hint="default"/>
        </w:rPr>
      </w:pPr>
      <w:r>
        <w:rPr>
          <w:rFonts w:hint="eastAsia"/>
          <w:b w:val="1"/>
        </w:rPr>
        <w:t>南丹市●区■■町▲▲番地　　○○　○○</w:t>
      </w:r>
    </w:p>
    <w:p>
      <w:pPr>
        <w:pStyle w:val="15"/>
        <w:numPr>
          <w:ilvl w:val="0"/>
          <w:numId w:val="1"/>
        </w:numPr>
        <w:spacing w:line="300" w:lineRule="exact"/>
        <w:ind w:leftChars="0"/>
        <w:rPr>
          <w:rFonts w:hint="default"/>
        </w:rPr>
      </w:pPr>
      <w:r>
        <w:rPr>
          <w:rFonts w:hint="eastAsia"/>
          <w:b w:val="1"/>
        </w:rPr>
        <w:t>宅地</w:t>
      </w:r>
    </w:p>
    <w:p>
      <w:pPr>
        <w:pStyle w:val="0"/>
        <w:spacing w:line="300" w:lineRule="exact"/>
        <w:ind w:firstLine="632" w:firstLineChars="300"/>
        <w:rPr>
          <w:rFonts w:hint="default"/>
          <w:b w:val="1"/>
        </w:rPr>
      </w:pPr>
      <w:r>
        <w:rPr>
          <w:rFonts w:hint="eastAsia"/>
          <w:b w:val="1"/>
        </w:rPr>
        <w:t>南丹市●区■▲町■▲番地　　○○　△△</w:t>
      </w:r>
    </w:p>
    <w:p>
      <w:pPr>
        <w:pStyle w:val="0"/>
        <w:spacing w:line="300" w:lineRule="exact"/>
        <w:rPr>
          <w:rFonts w:hint="default"/>
          <w:color w:val="000000"/>
        </w:rPr>
      </w:pPr>
      <w:r>
        <w:rPr>
          <w:rFonts w:hint="eastAsia"/>
          <w:color w:val="000000"/>
        </w:rPr>
        <w:t>【建物について】</w:t>
      </w:r>
    </w:p>
    <w:p>
      <w:pPr>
        <w:pStyle w:val="0"/>
        <w:spacing w:line="300" w:lineRule="exact"/>
        <w:ind w:left="840" w:hanging="840" w:hangingChars="400"/>
        <w:rPr>
          <w:rFonts w:hint="default"/>
        </w:rPr>
      </w:pPr>
      <w:r>
        <w:rPr>
          <w:rFonts w:hint="eastAsia"/>
        </w:rPr>
        <w:t>○名称…○○町内会集会所、△区公民館等の名称が付されている場合はこれによること。そうでない場合は、「集会所」「事務所」「居宅」等の区分によること（参照：不動産登記規則（平成</w:t>
      </w:r>
      <w:r>
        <w:rPr>
          <w:rFonts w:hint="eastAsia"/>
        </w:rPr>
        <w:t>17</w:t>
      </w:r>
      <w:r>
        <w:rPr>
          <w:rFonts w:hint="eastAsia"/>
        </w:rPr>
        <w:t>年法務省令第</w:t>
      </w:r>
      <w:r>
        <w:rPr>
          <w:rFonts w:hint="eastAsia"/>
        </w:rPr>
        <w:t>18</w:t>
      </w:r>
      <w:r>
        <w:rPr>
          <w:rFonts w:hint="eastAsia"/>
        </w:rPr>
        <w:t>号）第</w:t>
      </w:r>
      <w:r>
        <w:rPr>
          <w:rFonts w:hint="eastAsia"/>
        </w:rPr>
        <w:t>113</w:t>
      </w:r>
      <w:r>
        <w:rPr>
          <w:rFonts w:hint="eastAsia"/>
        </w:rPr>
        <w:t>条第</w:t>
      </w:r>
      <w:r>
        <w:rPr>
          <w:rFonts w:hint="eastAsia"/>
        </w:rPr>
        <w:t>1</w:t>
      </w:r>
      <w:r>
        <w:rPr>
          <w:rFonts w:hint="eastAsia"/>
        </w:rPr>
        <w:t>項及び</w:t>
      </w:r>
      <w:r>
        <w:rPr>
          <w:rFonts w:hint="eastAsia"/>
          <w:color w:val="000000"/>
        </w:rPr>
        <w:t>不動産登記事務取扱手続準則（平成</w:t>
      </w:r>
      <w:r>
        <w:rPr>
          <w:rFonts w:hint="eastAsia"/>
          <w:color w:val="000000"/>
        </w:rPr>
        <w:t>17</w:t>
      </w:r>
      <w:r>
        <w:rPr>
          <w:rFonts w:hint="eastAsia"/>
          <w:color w:val="000000"/>
        </w:rPr>
        <w:t>年２月</w:t>
      </w:r>
      <w:r>
        <w:rPr>
          <w:rFonts w:hint="eastAsia"/>
          <w:color w:val="000000"/>
        </w:rPr>
        <w:t>25</w:t>
      </w:r>
      <w:r>
        <w:rPr>
          <w:rFonts w:hint="eastAsia"/>
          <w:color w:val="000000"/>
        </w:rPr>
        <w:t>日付け法務省民二第</w:t>
      </w:r>
      <w:r>
        <w:rPr>
          <w:rFonts w:hint="eastAsia"/>
          <w:color w:val="000000"/>
        </w:rPr>
        <w:t>456</w:t>
      </w:r>
      <w:r>
        <w:rPr>
          <w:rFonts w:hint="eastAsia"/>
          <w:color w:val="000000"/>
        </w:rPr>
        <w:t>号法務省民事局長通達）第</w:t>
      </w:r>
      <w:r>
        <w:rPr>
          <w:rFonts w:hint="eastAsia"/>
          <w:color w:val="000000"/>
        </w:rPr>
        <w:t>80</w:t>
      </w:r>
      <w:r>
        <w:rPr>
          <w:rFonts w:hint="eastAsia"/>
          <w:color w:val="000000"/>
        </w:rPr>
        <w:t>条第１項</w:t>
      </w:r>
      <w:r>
        <w:rPr>
          <w:rFonts w:hint="eastAsia"/>
        </w:rPr>
        <w:t>））</w:t>
      </w:r>
    </w:p>
    <w:p>
      <w:pPr>
        <w:pStyle w:val="0"/>
        <w:spacing w:line="300" w:lineRule="exact"/>
        <w:ind w:left="1260" w:hanging="1260" w:hangingChars="600"/>
        <w:rPr>
          <w:rFonts w:hint="default"/>
        </w:rPr>
      </w:pPr>
      <w:r>
        <w:rPr>
          <w:rFonts w:hint="eastAsia"/>
        </w:rPr>
        <w:t>○延床面積…不動産登記規則第</w:t>
      </w:r>
      <w:r>
        <w:rPr>
          <w:rFonts w:hint="eastAsia"/>
        </w:rPr>
        <w:t>115</w:t>
      </w:r>
      <w:r>
        <w:rPr>
          <w:rFonts w:hint="eastAsia"/>
        </w:rPr>
        <w:t>条に基づき各階ごとに算出された床面積を合計したものとすること。</w:t>
      </w:r>
    </w:p>
    <w:p>
      <w:pPr>
        <w:pStyle w:val="0"/>
        <w:spacing w:line="300" w:lineRule="exact"/>
        <w:ind w:left="1260" w:leftChars="400" w:hanging="420" w:hangingChars="200"/>
        <w:rPr>
          <w:rFonts w:hint="default"/>
        </w:rPr>
      </w:pPr>
      <w:r>
        <w:rPr>
          <w:rFonts w:hint="eastAsia"/>
        </w:rPr>
        <w:t>（注）不動産登記規則第</w:t>
      </w:r>
      <w:r>
        <w:rPr>
          <w:rFonts w:hint="eastAsia"/>
        </w:rPr>
        <w:t>115</w:t>
      </w:r>
      <w:r>
        <w:rPr>
          <w:rFonts w:hint="eastAsia"/>
        </w:rPr>
        <w:t>条「建物の床面積は、各階ごとに壁その他の区画の中心線（区分建物にあっては、壁その他の区画の内側線）で囲まれた部分の水平投影面積により、平方メートルを単位として定め、一平方メートルの百分の一未満の端数は、切り捨てるものとする。」</w:t>
      </w:r>
    </w:p>
    <w:p>
      <w:pPr>
        <w:pStyle w:val="0"/>
        <w:spacing w:line="300" w:lineRule="exact"/>
        <w:ind w:left="1050" w:hanging="1050" w:hangingChars="500"/>
        <w:rPr>
          <w:rFonts w:hint="default"/>
        </w:rPr>
      </w:pPr>
      <w:r>
        <w:rPr>
          <w:rFonts w:hint="eastAsia"/>
        </w:rPr>
        <w:t>○所在地…市区町村内の地番（不動産登記法第</w:t>
      </w:r>
      <w:r>
        <w:rPr>
          <w:rFonts w:hint="eastAsia"/>
        </w:rPr>
        <w:t>44</w:t>
      </w:r>
      <w:r>
        <w:rPr>
          <w:rFonts w:hint="eastAsia"/>
        </w:rPr>
        <w:t>条第１項第１号）及び家屋番号（同項第２号）まで記載すること。</w:t>
      </w:r>
    </w:p>
    <w:p>
      <w:pPr>
        <w:pStyle w:val="0"/>
        <w:spacing w:line="300" w:lineRule="exact"/>
        <w:rPr>
          <w:rFonts w:hint="default"/>
        </w:rPr>
      </w:pPr>
    </w:p>
    <w:p>
      <w:pPr>
        <w:pStyle w:val="0"/>
        <w:spacing w:line="300" w:lineRule="exact"/>
        <w:rPr>
          <w:rFonts w:hint="default"/>
        </w:rPr>
      </w:pPr>
      <w:r>
        <w:rPr>
          <w:rFonts w:hint="eastAsia"/>
        </w:rPr>
        <w:t>【土地について】</w:t>
      </w:r>
    </w:p>
    <w:p>
      <w:pPr>
        <w:pStyle w:val="0"/>
        <w:spacing w:line="300" w:lineRule="exact"/>
        <w:rPr>
          <w:rFonts w:hint="default"/>
        </w:rPr>
      </w:pPr>
      <w:r>
        <w:rPr>
          <w:rFonts w:hint="eastAsia"/>
        </w:rPr>
        <w:t>○地目…不動産登記規則第</w:t>
      </w:r>
      <w:r>
        <w:rPr>
          <w:rFonts w:hint="eastAsia"/>
        </w:rPr>
        <w:t>99</w:t>
      </w:r>
      <w:r>
        <w:rPr>
          <w:rFonts w:hint="eastAsia"/>
        </w:rPr>
        <w:t>条に定める区分により定めるものとすること。</w:t>
      </w:r>
    </w:p>
    <w:p>
      <w:pPr>
        <w:pStyle w:val="0"/>
        <w:spacing w:line="300" w:lineRule="exact"/>
        <w:ind w:left="1050" w:leftChars="300" w:hanging="420" w:hangingChars="200"/>
        <w:rPr>
          <w:rFonts w:hint="default"/>
        </w:rPr>
      </w:pPr>
      <w:r>
        <w:rPr>
          <w:rFonts w:hint="eastAsia"/>
        </w:rPr>
        <w:t>（注）不動産登記規則第</w:t>
      </w:r>
      <w:r>
        <w:rPr>
          <w:rFonts w:hint="eastAsia"/>
        </w:rPr>
        <w:t>99</w:t>
      </w:r>
      <w:r>
        <w:rPr>
          <w:rFonts w:hint="eastAsia"/>
        </w:rPr>
        <w:t>条「地目は、土地の主たる用途により、田、畑、宅地、塩田、鉱泉地、池沼、山林、牧場、野原、墓地、境内地、運河用地、水道用地、用悪水路、ため池、堤、井溝、保安林、公衆用道路、公園及び雑種地に区分して定めるものとする。」</w:t>
      </w:r>
    </w:p>
    <w:p>
      <w:pPr>
        <w:pStyle w:val="0"/>
        <w:spacing w:line="300" w:lineRule="exact"/>
        <w:rPr>
          <w:rFonts w:hint="default"/>
        </w:rPr>
      </w:pPr>
      <w:r>
        <w:rPr>
          <w:rFonts w:hint="eastAsia"/>
        </w:rPr>
        <w:t>○面積…不動産登記規則第</w:t>
      </w:r>
      <w:r>
        <w:rPr>
          <w:rFonts w:hint="eastAsia"/>
        </w:rPr>
        <w:t>100</w:t>
      </w:r>
      <w:r>
        <w:rPr>
          <w:rFonts w:hint="eastAsia"/>
        </w:rPr>
        <w:t>条に定める「地積」と同一とすること。</w:t>
      </w:r>
    </w:p>
    <w:p>
      <w:pPr>
        <w:pStyle w:val="0"/>
        <w:spacing w:line="300" w:lineRule="exact"/>
        <w:ind w:left="1050" w:leftChars="300" w:hanging="420" w:hangingChars="200"/>
        <w:rPr>
          <w:rFonts w:hint="default"/>
        </w:rPr>
      </w:pPr>
      <w:r>
        <w:rPr>
          <w:rFonts w:hint="eastAsia"/>
        </w:rPr>
        <w:t>（注）不動産登記規則第</w:t>
      </w:r>
      <w:r>
        <w:rPr>
          <w:rFonts w:hint="eastAsia"/>
        </w:rPr>
        <w:t>100</w:t>
      </w:r>
      <w:r>
        <w:rPr>
          <w:rFonts w:hint="eastAsia"/>
        </w:rPr>
        <w:t>条「地積は、水平投影面積により、平方メートルを単位として定め、一平方メートルの百分の一（宅地及び鉱泉地以外の土地で十平方メートルを超えるものについては、一平方メートル）未満の端数は、切り捨てる。」</w:t>
      </w:r>
    </w:p>
    <w:p>
      <w:pPr>
        <w:pStyle w:val="0"/>
        <w:spacing w:line="300" w:lineRule="exact"/>
        <w:ind w:left="1050" w:hanging="1050" w:hangingChars="500"/>
        <w:rPr>
          <w:rFonts w:hint="default"/>
        </w:rPr>
      </w:pPr>
      <w:r>
        <w:rPr>
          <w:rFonts w:hint="eastAsia"/>
        </w:rPr>
        <w:t>○所在地…市区町村内の地番（不動産登記法第</w:t>
      </w:r>
      <w:r>
        <w:rPr>
          <w:rFonts w:hint="eastAsia"/>
        </w:rPr>
        <w:t>34</w:t>
      </w:r>
      <w:r>
        <w:rPr>
          <w:rFonts w:hint="eastAsia"/>
        </w:rPr>
        <w:t>条第１項第２号）まで記載すること。</w:t>
      </w:r>
    </w:p>
    <w:p>
      <w:pPr>
        <w:pStyle w:val="0"/>
        <w:widowControl w:val="1"/>
        <w:jc w:val="left"/>
        <w:rPr>
          <w:rFonts w:hint="default"/>
        </w:rPr>
      </w:pPr>
    </w:p>
    <w:p>
      <w:pPr>
        <w:pStyle w:val="0"/>
        <w:widowControl w:val="1"/>
        <w:jc w:val="left"/>
        <w:rPr>
          <w:rFonts w:hint="default" w:asciiTheme="minorEastAsia" w:hAnsiTheme="minorEastAsia"/>
        </w:rPr>
      </w:pPr>
    </w:p>
    <w:p>
      <w:pPr>
        <w:pStyle w:val="0"/>
        <w:rPr>
          <w:rFonts w:hint="default"/>
        </w:rPr>
      </w:pPr>
    </w:p>
    <w:sectPr>
      <w:pgSz w:w="11906" w:h="16838"/>
      <w:pgMar w:top="1304" w:right="1701" w:bottom="1077"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7548160"/>
    <w:lvl w:ilvl="0" w:tplc="4594C4E4">
      <w:start w:val="1"/>
      <w:numFmt w:val="decimalEnclosedCircle"/>
      <w:lvlText w:val="%1"/>
      <w:lvlJc w:val="left"/>
      <w:pPr>
        <w:ind w:left="782" w:hanging="360"/>
      </w:pPr>
      <w:rPr>
        <w:rFonts w:hint="default"/>
        <w:b w:val="1"/>
      </w:rPr>
    </w:lvl>
    <w:lvl w:ilvl="1" w:tplc="04090017">
      <w:start w:val="1"/>
      <w:numFmt w:val="aiueoFullWidth"/>
      <w:lvlText w:val="(%2)"/>
      <w:lvlJc w:val="left"/>
      <w:pPr>
        <w:ind w:left="1262" w:hanging="420"/>
      </w:pPr>
    </w:lvl>
    <w:lvl w:ilvl="2" w:tplc="04090011">
      <w:start w:val="1"/>
      <w:numFmt w:val="decimalEnclosedCircle"/>
      <w:lvlText w:val="%3"/>
      <w:lvlJc w:val="left"/>
      <w:pPr>
        <w:ind w:left="1682" w:hanging="420"/>
      </w:pPr>
    </w:lvl>
    <w:lvl w:ilvl="3" w:tplc="0409000F">
      <w:start w:val="1"/>
      <w:numFmt w:val="decimal"/>
      <w:lvlText w:val="%4."/>
      <w:lvlJc w:val="left"/>
      <w:pPr>
        <w:ind w:left="2102" w:hanging="420"/>
      </w:pPr>
    </w:lvl>
    <w:lvl w:ilvl="4" w:tplc="04090017">
      <w:start w:val="1"/>
      <w:numFmt w:val="aiueoFullWidth"/>
      <w:lvlText w:val="(%5)"/>
      <w:lvlJc w:val="left"/>
      <w:pPr>
        <w:ind w:left="2522" w:hanging="420"/>
      </w:pPr>
    </w:lvl>
    <w:lvl w:ilvl="5" w:tplc="04090011">
      <w:start w:val="1"/>
      <w:numFmt w:val="decimalEnclosedCircle"/>
      <w:lvlText w:val="%6"/>
      <w:lvlJc w:val="left"/>
      <w:pPr>
        <w:ind w:left="2942" w:hanging="420"/>
      </w:pPr>
    </w:lvl>
    <w:lvl w:ilvl="6" w:tplc="0409000F">
      <w:start w:val="1"/>
      <w:numFmt w:val="decimal"/>
      <w:lvlText w:val="%7."/>
      <w:lvlJc w:val="left"/>
      <w:pPr>
        <w:ind w:left="3362" w:hanging="420"/>
      </w:pPr>
    </w:lvl>
    <w:lvl w:ilvl="7" w:tplc="04090017">
      <w:start w:val="1"/>
      <w:numFmt w:val="aiueoFullWidth"/>
      <w:lvlText w:val="(%8)"/>
      <w:lvlJc w:val="left"/>
      <w:pPr>
        <w:ind w:left="3782" w:hanging="420"/>
      </w:pPr>
    </w:lvl>
    <w:lvl w:ilvl="8" w:tplc="04090011">
      <w:start w:val="1"/>
      <w:numFmt w:val="decimalEnclosedCircle"/>
      <w:lvlText w:val="%9"/>
      <w:lvlJc w:val="left"/>
      <w:pPr>
        <w:ind w:left="4202"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2025-02-24T22:41:23Z</dcterms:modified>
  <cp:revision>2</cp:revision>
</cp:coreProperties>
</file>