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軽度者に対する福祉用具貸与にかかる医学的所見について（ＦＡＸ照会）</w:t>
      </w:r>
    </w:p>
    <w:p>
      <w:pPr>
        <w:pStyle w:val="0"/>
        <w:jc w:val="right"/>
        <w:rPr>
          <w:rFonts w:hint="default"/>
        </w:rPr>
      </w:pPr>
      <w:r>
        <w:rPr>
          <w:rFonts w:hint="eastAsia"/>
        </w:rPr>
        <w:t>年　　　月　　　日</w:t>
      </w:r>
    </w:p>
    <w:p>
      <w:pPr>
        <w:pStyle w:val="0"/>
        <w:spacing w:line="0" w:lineRule="atLeast"/>
        <w:rPr>
          <w:rFonts w:hint="default"/>
          <w:sz w:val="18"/>
        </w:rPr>
      </w:pPr>
      <w:r>
        <w:rPr>
          <w:rFonts w:hint="eastAsia"/>
          <w:sz w:val="18"/>
        </w:rPr>
        <mc:AlternateContent>
          <mc:Choice Requires="wps">
            <w:drawing>
              <wp:anchor distT="0" distB="0" distL="114300" distR="114300" simplePos="0" relativeHeight="2" behindDoc="0" locked="0" layoutInCell="1" hidden="0" allowOverlap="1">
                <wp:simplePos x="0" y="0"/>
                <wp:positionH relativeFrom="column">
                  <wp:posOffset>2840990</wp:posOffset>
                </wp:positionH>
                <wp:positionV relativeFrom="paragraph">
                  <wp:posOffset>97155</wp:posOffset>
                </wp:positionV>
                <wp:extent cx="3695700" cy="115252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36957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8"/>
                              </w:rPr>
                            </w:pPr>
                            <w:r>
                              <w:rPr>
                                <w:rFonts w:hint="eastAsia"/>
                                <w:sz w:val="18"/>
                              </w:rPr>
                              <w:t>事業所名</w:t>
                            </w:r>
                          </w:p>
                          <w:p>
                            <w:pPr>
                              <w:pStyle w:val="0"/>
                              <w:spacing w:line="0" w:lineRule="atLeast"/>
                              <w:jc w:val="left"/>
                              <w:rPr>
                                <w:rFonts w:hint="default"/>
                                <w:sz w:val="18"/>
                              </w:rPr>
                            </w:pPr>
                            <w:r>
                              <w:rPr>
                                <w:rFonts w:hint="eastAsia"/>
                                <w:sz w:val="18"/>
                              </w:rPr>
                              <w:t>所在地</w:t>
                            </w:r>
                          </w:p>
                          <w:p>
                            <w:pPr>
                              <w:pStyle w:val="0"/>
                              <w:spacing w:line="0" w:lineRule="atLeast"/>
                              <w:rPr>
                                <w:rFonts w:hint="default"/>
                                <w:sz w:val="18"/>
                              </w:rPr>
                            </w:pPr>
                          </w:p>
                          <w:p>
                            <w:pPr>
                              <w:pStyle w:val="0"/>
                              <w:spacing w:line="0" w:lineRule="atLeast"/>
                              <w:rPr>
                                <w:rFonts w:hint="default"/>
                                <w:sz w:val="18"/>
                              </w:rPr>
                            </w:pPr>
                            <w:r>
                              <w:rPr>
                                <w:rFonts w:hint="eastAsia"/>
                                <w:sz w:val="18"/>
                              </w:rPr>
                              <w:t>ＴＥＬ</w:t>
                            </w:r>
                          </w:p>
                          <w:p>
                            <w:pPr>
                              <w:pStyle w:val="0"/>
                              <w:spacing w:line="0" w:lineRule="atLeast"/>
                              <w:rPr>
                                <w:rFonts w:hint="default"/>
                                <w:sz w:val="18"/>
                              </w:rPr>
                            </w:pPr>
                            <w:r>
                              <w:rPr>
                                <w:rFonts w:hint="eastAsia"/>
                                <w:sz w:val="18"/>
                              </w:rPr>
                              <w:t>ＦＡＸ</w:t>
                            </w:r>
                          </w:p>
                          <w:p>
                            <w:pPr>
                              <w:pStyle w:val="0"/>
                              <w:spacing w:line="0" w:lineRule="atLeast"/>
                              <w:rPr>
                                <w:rFonts w:hint="default"/>
                                <w:sz w:val="18"/>
                              </w:rPr>
                            </w:pPr>
                            <w:r>
                              <w:rPr>
                                <w:rFonts w:hint="eastAsia"/>
                                <w:sz w:val="18"/>
                              </w:rPr>
                              <w:t>Ｅ－ｍａｉｌ</w:t>
                            </w:r>
                          </w:p>
                          <w:p>
                            <w:pPr>
                              <w:pStyle w:val="0"/>
                              <w:spacing w:line="0" w:lineRule="atLeast"/>
                              <w:ind w:firstLine="180" w:firstLineChars="100"/>
                              <w:rPr>
                                <w:rFonts w:hint="default"/>
                                <w:sz w:val="18"/>
                              </w:rPr>
                            </w:pPr>
                            <w:r>
                              <w:rPr>
                                <w:rFonts w:hint="eastAsia"/>
                                <w:sz w:val="18"/>
                              </w:rPr>
                              <w:t>介護支援専門員名</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5pt;mso-position-vertical-relative:text;mso-position-horizontal-relative:text;v-text-anchor:top;position:absolute;height:90.75pt;mso-wrap-distance-top:0pt;width:291pt;mso-wrap-distance-left:9pt;margin-left:223.7pt;z-index:2;" o:spid="_x0000_s1026" o:allowincell="t" o:allowoverlap="t" filled="t" fillcolor="#ffffff [3201]" stroked="t" strokecolor="#000000" strokeweight="0.5pt" o:spt="202" type="#_x0000_t202">
                <v:fill/>
                <v:stroke filltype="solid"/>
                <v:textbox style="layout-flow:horizontal;">
                  <w:txbxContent>
                    <w:p>
                      <w:pPr>
                        <w:pStyle w:val="0"/>
                        <w:spacing w:line="0" w:lineRule="atLeast"/>
                        <w:rPr>
                          <w:rFonts w:hint="default"/>
                          <w:sz w:val="18"/>
                        </w:rPr>
                      </w:pPr>
                      <w:r>
                        <w:rPr>
                          <w:rFonts w:hint="eastAsia"/>
                          <w:sz w:val="18"/>
                        </w:rPr>
                        <w:t>事業所名</w:t>
                      </w:r>
                    </w:p>
                    <w:p>
                      <w:pPr>
                        <w:pStyle w:val="0"/>
                        <w:spacing w:line="0" w:lineRule="atLeast"/>
                        <w:jc w:val="left"/>
                        <w:rPr>
                          <w:rFonts w:hint="default"/>
                          <w:sz w:val="18"/>
                        </w:rPr>
                      </w:pPr>
                      <w:r>
                        <w:rPr>
                          <w:rFonts w:hint="eastAsia"/>
                          <w:sz w:val="18"/>
                        </w:rPr>
                        <w:t>所在地</w:t>
                      </w:r>
                    </w:p>
                    <w:p>
                      <w:pPr>
                        <w:pStyle w:val="0"/>
                        <w:spacing w:line="0" w:lineRule="atLeast"/>
                        <w:rPr>
                          <w:rFonts w:hint="default"/>
                          <w:sz w:val="18"/>
                        </w:rPr>
                      </w:pPr>
                    </w:p>
                    <w:p>
                      <w:pPr>
                        <w:pStyle w:val="0"/>
                        <w:spacing w:line="0" w:lineRule="atLeast"/>
                        <w:rPr>
                          <w:rFonts w:hint="default"/>
                          <w:sz w:val="18"/>
                        </w:rPr>
                      </w:pPr>
                      <w:r>
                        <w:rPr>
                          <w:rFonts w:hint="eastAsia"/>
                          <w:sz w:val="18"/>
                        </w:rPr>
                        <w:t>ＴＥＬ</w:t>
                      </w:r>
                    </w:p>
                    <w:p>
                      <w:pPr>
                        <w:pStyle w:val="0"/>
                        <w:spacing w:line="0" w:lineRule="atLeast"/>
                        <w:rPr>
                          <w:rFonts w:hint="default"/>
                          <w:sz w:val="18"/>
                        </w:rPr>
                      </w:pPr>
                      <w:r>
                        <w:rPr>
                          <w:rFonts w:hint="eastAsia"/>
                          <w:sz w:val="18"/>
                        </w:rPr>
                        <w:t>ＦＡＸ</w:t>
                      </w:r>
                    </w:p>
                    <w:p>
                      <w:pPr>
                        <w:pStyle w:val="0"/>
                        <w:spacing w:line="0" w:lineRule="atLeast"/>
                        <w:rPr>
                          <w:rFonts w:hint="default"/>
                          <w:sz w:val="18"/>
                        </w:rPr>
                      </w:pPr>
                      <w:r>
                        <w:rPr>
                          <w:rFonts w:hint="eastAsia"/>
                          <w:sz w:val="18"/>
                        </w:rPr>
                        <w:t>Ｅ－ｍａｉｌ</w:t>
                      </w:r>
                    </w:p>
                    <w:p>
                      <w:pPr>
                        <w:pStyle w:val="0"/>
                        <w:spacing w:line="0" w:lineRule="atLeast"/>
                        <w:ind w:firstLine="180" w:firstLineChars="100"/>
                        <w:rPr>
                          <w:rFonts w:hint="default"/>
                          <w:sz w:val="18"/>
                        </w:rPr>
                      </w:pPr>
                      <w:r>
                        <w:rPr>
                          <w:rFonts w:hint="eastAsia"/>
                          <w:sz w:val="18"/>
                        </w:rPr>
                        <w:t>介護支援専門員名</w:t>
                      </w:r>
                    </w:p>
                  </w:txbxContent>
                </v:textbox>
                <v:imagedata o:title=""/>
                <w10:wrap type="none" anchorx="text" anchory="text"/>
              </v:shape>
            </w:pict>
          </mc:Fallback>
        </mc:AlternateContent>
      </w:r>
      <w:r>
        <w:rPr>
          <w:rFonts w:hint="eastAsia"/>
          <w:sz w:val="18"/>
        </w:rPr>
        <w:t>医療機関</w:t>
      </w:r>
    </w:p>
    <w:p>
      <w:pPr>
        <w:pStyle w:val="0"/>
        <w:spacing w:line="0" w:lineRule="atLeast"/>
        <w:rPr>
          <w:rFonts w:hint="default"/>
          <w:sz w:val="18"/>
        </w:rPr>
      </w:pPr>
    </w:p>
    <w:p>
      <w:pPr>
        <w:pStyle w:val="0"/>
        <w:spacing w:line="0" w:lineRule="atLeast"/>
        <w:rPr>
          <w:rFonts w:hint="default"/>
          <w:sz w:val="18"/>
        </w:rPr>
      </w:pPr>
    </w:p>
    <w:p>
      <w:pPr>
        <w:pStyle w:val="0"/>
        <w:spacing w:line="0" w:lineRule="atLeast"/>
        <w:rPr>
          <w:rFonts w:hint="default"/>
          <w:sz w:val="18"/>
        </w:rPr>
      </w:pPr>
    </w:p>
    <w:p>
      <w:pPr>
        <w:pStyle w:val="0"/>
        <w:spacing w:line="0" w:lineRule="atLeast"/>
        <w:rPr>
          <w:rFonts w:hint="default"/>
          <w:sz w:val="18"/>
        </w:rPr>
      </w:pPr>
      <w:r>
        <w:rPr>
          <w:rFonts w:hint="eastAsia"/>
          <w:sz w:val="18"/>
        </w:rPr>
        <w:t>主治医</w:t>
      </w:r>
    </w:p>
    <w:p>
      <w:pPr>
        <w:pStyle w:val="0"/>
        <w:spacing w:line="0" w:lineRule="atLeast"/>
        <w:ind w:firstLine="540" w:firstLineChars="300"/>
        <w:rPr>
          <w:rFonts w:hint="default"/>
          <w:sz w:val="18"/>
        </w:rPr>
      </w:pPr>
      <w:r>
        <w:rPr>
          <w:rFonts w:hint="eastAsia"/>
          <w:sz w:val="18"/>
          <w:u w:val="single" w:color="auto"/>
        </w:rPr>
        <w:t>　　　　　　　　　　　　　　　</w:t>
      </w:r>
      <w:r>
        <w:rPr>
          <w:rFonts w:hint="eastAsia"/>
          <w:sz w:val="18"/>
        </w:rPr>
        <w:t>先生</w:t>
      </w:r>
    </w:p>
    <w:p>
      <w:pPr>
        <w:pStyle w:val="0"/>
        <w:spacing w:line="0" w:lineRule="atLeast"/>
        <w:rPr>
          <w:rFonts w:hint="default"/>
          <w:sz w:val="18"/>
        </w:rPr>
      </w:pPr>
    </w:p>
    <w:p>
      <w:pPr>
        <w:pStyle w:val="0"/>
        <w:spacing w:line="0" w:lineRule="atLeast"/>
        <w:rPr>
          <w:rFonts w:hint="default"/>
          <w:sz w:val="18"/>
        </w:rPr>
      </w:pPr>
      <w:r>
        <w:rPr>
          <w:rFonts w:hint="eastAsia"/>
          <w:sz w:val="18"/>
        </w:rPr>
        <w:t>ＦＡＸ</w:t>
      </w:r>
    </w:p>
    <w:p>
      <w:pPr>
        <w:pStyle w:val="0"/>
        <w:rPr>
          <w:rFonts w:hint="default"/>
          <w:sz w:val="18"/>
        </w:rPr>
      </w:pPr>
    </w:p>
    <w:p>
      <w:pPr>
        <w:pStyle w:val="0"/>
        <w:spacing w:line="0" w:lineRule="atLeast"/>
        <w:rPr>
          <w:rFonts w:hint="eastAsia" w:asciiTheme="minorEastAsia" w:hAnsiTheme="minorEastAsia" w:eastAsiaTheme="minorEastAsia"/>
          <w:b w:val="1"/>
        </w:rPr>
      </w:pPr>
      <w:r>
        <w:rPr>
          <w:rFonts w:hint="eastAsia"/>
        </w:rPr>
        <w:t>　下記の患者様につきまして、福祉用具レンタルを検討しておりますが、患者様の要介護度が軽度者に該当するため、市役所に「福祉用具貸与が必要な理由書」を提出する必要があります。理由書を提出するにあたり、必ず医師の医学的な所見が必要とされておりますので、ご多忙中誠に恐れ入りますが、疾病名を含む医学的な所見と該当する状態を下記の主治医欄にご記入していただきご返送ください。</w:t>
      </w:r>
    </w:p>
    <w:p>
      <w:pPr>
        <w:pStyle w:val="0"/>
        <w:spacing w:line="100" w:lineRule="exact"/>
        <w:rPr>
          <w:rFonts w:hint="eastAsia" w:asciiTheme="minorEastAsia" w:hAnsiTheme="minorEastAsia" w:eastAsiaTheme="minorEastAsia"/>
          <w:b w:val="1"/>
        </w:rPr>
      </w:pPr>
    </w:p>
    <w:p>
      <w:pPr>
        <w:pStyle w:val="0"/>
        <w:spacing w:line="0" w:lineRule="atLeast"/>
        <w:rPr>
          <w:rFonts w:hint="eastAsia" w:asciiTheme="minorEastAsia" w:hAnsiTheme="minorEastAsia" w:eastAsiaTheme="minorEastAsia"/>
          <w:b w:val="1"/>
        </w:rPr>
      </w:pPr>
      <w:r>
        <w:rPr>
          <w:rFonts w:hint="eastAsia" w:asciiTheme="minorEastAsia" w:hAnsiTheme="minorEastAsia" w:eastAsiaTheme="minorEastAsia"/>
          <w:b w:val="1"/>
        </w:rPr>
        <w:t>【介護支援専門員記入欄】</w:t>
      </w:r>
    </w:p>
    <w:tbl>
      <w:tblPr>
        <w:tblStyle w:val="21"/>
        <w:tblW w:w="10368" w:type="dxa"/>
        <w:tblInd w:w="0" w:type="dxa"/>
        <w:tblLayout w:type="fixed"/>
        <w:tblLook w:firstRow="1" w:lastRow="0" w:firstColumn="1" w:lastColumn="0" w:noHBand="0" w:noVBand="1" w:val="04A0"/>
      </w:tblPr>
      <w:tblGrid>
        <w:gridCol w:w="1738"/>
        <w:gridCol w:w="1489"/>
        <w:gridCol w:w="1921"/>
        <w:gridCol w:w="1080"/>
        <w:gridCol w:w="1080"/>
        <w:gridCol w:w="900"/>
        <w:gridCol w:w="855"/>
        <w:gridCol w:w="1305"/>
      </w:tblGrid>
      <w:tr>
        <w:trPr>
          <w:trHeight w:val="524" w:hRule="atLeast"/>
        </w:trPr>
        <w:tc>
          <w:tcPr>
            <w:tcW w:w="1738" w:type="dxa"/>
            <w:vAlign w:val="center"/>
          </w:tcPr>
          <w:p>
            <w:pPr>
              <w:pStyle w:val="0"/>
              <w:jc w:val="center"/>
              <w:rPr>
                <w:rFonts w:hint="default"/>
                <w:sz w:val="20"/>
              </w:rPr>
            </w:pPr>
            <w:r>
              <w:rPr>
                <w:rFonts w:hint="eastAsia"/>
                <w:sz w:val="20"/>
              </w:rPr>
              <w:t>利用者氏名</w:t>
            </w:r>
          </w:p>
        </w:tc>
        <w:tc>
          <w:tcPr>
            <w:tcW w:w="3410" w:type="dxa"/>
            <w:gridSpan w:val="2"/>
            <w:vAlign w:val="center"/>
          </w:tcPr>
          <w:p>
            <w:pPr>
              <w:pStyle w:val="0"/>
              <w:jc w:val="center"/>
              <w:rPr>
                <w:rFonts w:hint="default"/>
                <w:color w:val="auto"/>
                <w:sz w:val="20"/>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0"/>
              </w:rPr>
            </w:pPr>
            <w:r>
              <w:rPr>
                <w:rFonts w:hint="eastAsia"/>
                <w:color w:val="auto"/>
                <w:sz w:val="20"/>
              </w:rPr>
              <w:t>生年月日</w:t>
            </w:r>
          </w:p>
        </w:tc>
        <w:tc>
          <w:tcPr>
            <w:tcW w:w="198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c>
          <w:tcPr>
            <w:tcW w:w="8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年齢</w:t>
            </w:r>
          </w:p>
        </w:tc>
        <w:tc>
          <w:tcPr>
            <w:tcW w:w="1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p>
        </w:tc>
      </w:tr>
      <w:tr>
        <w:trPr>
          <w:trHeight w:val="524" w:hRule="atLeast"/>
        </w:trPr>
        <w:tc>
          <w:tcPr>
            <w:tcW w:w="1738" w:type="dxa"/>
            <w:vAlign w:val="center"/>
          </w:tcPr>
          <w:p>
            <w:pPr>
              <w:pStyle w:val="0"/>
              <w:jc w:val="center"/>
              <w:rPr>
                <w:rFonts w:hint="default"/>
                <w:sz w:val="20"/>
              </w:rPr>
            </w:pPr>
            <w:r>
              <w:rPr>
                <w:rFonts w:hint="eastAsia"/>
                <w:sz w:val="20"/>
              </w:rPr>
              <w:t>利用者住所</w:t>
            </w:r>
          </w:p>
        </w:tc>
        <w:tc>
          <w:tcPr>
            <w:tcW w:w="8630" w:type="dxa"/>
            <w:gridSpan w:val="7"/>
            <w:vAlign w:val="center"/>
          </w:tcPr>
          <w:p>
            <w:pPr>
              <w:pStyle w:val="0"/>
              <w:jc w:val="center"/>
              <w:rPr>
                <w:rFonts w:hint="default"/>
                <w:sz w:val="20"/>
              </w:rPr>
            </w:pPr>
          </w:p>
        </w:tc>
      </w:tr>
      <w:tr>
        <w:trPr>
          <w:trHeight w:val="524" w:hRule="atLeast"/>
        </w:trPr>
        <w:tc>
          <w:tcPr>
            <w:tcW w:w="1738" w:type="dxa"/>
            <w:vAlign w:val="center"/>
          </w:tcPr>
          <w:p>
            <w:pPr>
              <w:pStyle w:val="0"/>
              <w:jc w:val="center"/>
              <w:rPr>
                <w:rFonts w:hint="default"/>
                <w:sz w:val="20"/>
              </w:rPr>
            </w:pPr>
            <w:r>
              <w:rPr>
                <w:rFonts w:hint="eastAsia"/>
                <w:sz w:val="20"/>
              </w:rPr>
              <w:t>認定有効期間</w:t>
            </w:r>
          </w:p>
        </w:tc>
        <w:tc>
          <w:tcPr>
            <w:tcW w:w="4490" w:type="dxa"/>
            <w:gridSpan w:val="3"/>
            <w:vAlign w:val="center"/>
          </w:tcPr>
          <w:p>
            <w:pPr>
              <w:pStyle w:val="0"/>
              <w:jc w:val="center"/>
              <w:rPr>
                <w:rFonts w:hint="default"/>
                <w:sz w:val="20"/>
              </w:rPr>
            </w:pPr>
          </w:p>
        </w:tc>
        <w:tc>
          <w:tcPr>
            <w:tcW w:w="1080" w:type="dxa"/>
            <w:vAlign w:val="center"/>
          </w:tcPr>
          <w:p>
            <w:pPr>
              <w:pStyle w:val="0"/>
              <w:jc w:val="center"/>
              <w:rPr>
                <w:rFonts w:hint="default"/>
                <w:sz w:val="20"/>
              </w:rPr>
            </w:pPr>
            <w:r>
              <w:rPr>
                <w:rFonts w:hint="eastAsia"/>
                <w:sz w:val="20"/>
              </w:rPr>
              <w:t>要介護度</w:t>
            </w:r>
          </w:p>
        </w:tc>
        <w:tc>
          <w:tcPr>
            <w:tcW w:w="3060" w:type="dxa"/>
            <w:gridSpan w:val="3"/>
            <w:vAlign w:val="top"/>
          </w:tcPr>
          <w:p>
            <w:pPr>
              <w:pStyle w:val="0"/>
              <w:rPr>
                <w:rFonts w:hint="default"/>
                <w:sz w:val="18"/>
              </w:rPr>
            </w:pPr>
          </w:p>
        </w:tc>
      </w:tr>
      <w:tr>
        <w:trPr>
          <w:trHeight w:val="550" w:hRule="atLeast"/>
        </w:trPr>
        <w:tc>
          <w:tcPr>
            <w:tcW w:w="3227" w:type="dxa"/>
            <w:gridSpan w:val="2"/>
            <w:vAlign w:val="center"/>
          </w:tcPr>
          <w:p>
            <w:pPr>
              <w:pStyle w:val="0"/>
              <w:rPr>
                <w:rFonts w:hint="default"/>
              </w:rPr>
            </w:pPr>
            <w:r>
              <w:rPr>
                <w:rFonts w:hint="eastAsia"/>
              </w:rPr>
              <w:t>貸与を検討している種目</w:t>
            </w:r>
          </w:p>
        </w:tc>
        <w:tc>
          <w:tcPr>
            <w:tcW w:w="7141" w:type="dxa"/>
            <w:gridSpan w:val="6"/>
            <w:vAlign w:val="top"/>
          </w:tcPr>
          <w:p>
            <w:pPr>
              <w:pStyle w:val="0"/>
              <w:rPr>
                <w:rFonts w:hint="default"/>
              </w:rPr>
            </w:pPr>
          </w:p>
        </w:tc>
      </w:tr>
      <w:tr>
        <w:trPr>
          <w:trHeight w:val="886" w:hRule="atLeast"/>
        </w:trPr>
        <w:tc>
          <w:tcPr>
            <w:tcW w:w="3227" w:type="dxa"/>
            <w:gridSpan w:val="2"/>
            <w:vAlign w:val="center"/>
          </w:tcPr>
          <w:p>
            <w:pPr>
              <w:pStyle w:val="0"/>
              <w:rPr>
                <w:rFonts w:hint="default"/>
              </w:rPr>
            </w:pPr>
            <w:r>
              <w:rPr>
                <w:rFonts w:hint="eastAsia"/>
              </w:rPr>
              <w:t>貸与が必要だと判断した理由</w:t>
            </w:r>
          </w:p>
        </w:tc>
        <w:tc>
          <w:tcPr>
            <w:tcW w:w="7141" w:type="dxa"/>
            <w:gridSpan w:val="6"/>
            <w:vAlign w:val="top"/>
          </w:tcPr>
          <w:p>
            <w:pPr>
              <w:pStyle w:val="0"/>
              <w:rPr>
                <w:rFonts w:hint="default"/>
              </w:rPr>
            </w:pPr>
          </w:p>
        </w:tc>
      </w:tr>
    </w:tbl>
    <w:p>
      <w:pPr>
        <w:pStyle w:val="0"/>
        <w:spacing w:line="100" w:lineRule="exact"/>
        <w:rPr>
          <w:rFonts w:hint="eastAsia" w:ascii="BIZ UDゴシック" w:hAnsi="BIZ UDゴシック" w:eastAsia="BIZ UDゴシック"/>
        </w:rPr>
      </w:pPr>
    </w:p>
    <w:p>
      <w:pPr>
        <w:pStyle w:val="0"/>
        <w:rPr>
          <w:rFonts w:hint="eastAsia" w:asciiTheme="minorEastAsia" w:hAnsiTheme="minorEastAsia" w:eastAsiaTheme="minorEastAsia"/>
          <w:b w:val="1"/>
        </w:rPr>
      </w:pPr>
      <w:r>
        <w:rPr>
          <w:rFonts w:hint="eastAsia" w:asciiTheme="minorEastAsia" w:hAnsiTheme="minorEastAsia" w:eastAsiaTheme="minorEastAsia"/>
          <w:b w:val="1"/>
        </w:rPr>
        <w:t>【主治医記入欄】</w:t>
      </w:r>
    </w:p>
    <w:tbl>
      <w:tblPr>
        <w:tblStyle w:val="21"/>
        <w:tblW w:w="10402" w:type="dxa"/>
        <w:tblInd w:w="0" w:type="dxa"/>
        <w:tblLayout w:type="fixed"/>
        <w:tblLook w:firstRow="1" w:lastRow="0" w:firstColumn="1" w:lastColumn="0" w:noHBand="0" w:noVBand="1" w:val="04A0"/>
      </w:tblPr>
      <w:tblGrid>
        <w:gridCol w:w="10402"/>
      </w:tblGrid>
      <w:tr>
        <w:trPr>
          <w:trHeight w:val="5809" w:hRule="atLeast"/>
        </w:trPr>
        <w:tc>
          <w:tcPr>
            <w:tcW w:w="10402" w:type="dxa"/>
            <w:vAlign w:val="top"/>
          </w:tcPr>
          <w:p>
            <w:pPr>
              <w:pStyle w:val="0"/>
              <w:spacing w:line="240" w:lineRule="exact"/>
              <w:ind w:left="880" w:hanging="880" w:hangingChars="400"/>
              <w:rPr>
                <w:rFonts w:hint="eastAsia" w:asciiTheme="minorEastAsia" w:hAnsiTheme="minorEastAsia" w:eastAsiaTheme="minorEastAsia"/>
                <w:b w:val="0"/>
                <w:color w:val="FF0000"/>
              </w:rPr>
            </w:pPr>
          </w:p>
          <w:p>
            <w:pPr>
              <w:pStyle w:val="0"/>
              <w:spacing w:line="240" w:lineRule="exact"/>
              <w:ind w:left="880" w:hanging="880" w:hangingChars="4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１．「福祉用具貸与の例外給付の対象とすべき状態像」について、次（ⅰ～ⅳ）のいずれかに☑をしてくださ</w:t>
            </w:r>
          </w:p>
          <w:p>
            <w:pPr>
              <w:pStyle w:val="0"/>
              <w:spacing w:line="240" w:lineRule="exact"/>
              <w:ind w:left="840" w:leftChars="200" w:hanging="420" w:hangingChars="2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い。（</w:t>
            </w:r>
            <w:r>
              <w:rPr>
                <w:rFonts w:hint="eastAsia" w:asciiTheme="minorEastAsia" w:hAnsiTheme="minorEastAsia" w:eastAsiaTheme="minorEastAsia"/>
                <w:b w:val="0"/>
                <w:color w:val="auto"/>
                <w:sz w:val="21"/>
              </w:rPr>
              <w:t>※裏面の表１（平成</w:t>
            </w:r>
            <w:r>
              <w:rPr>
                <w:rFonts w:hint="eastAsia" w:asciiTheme="minorEastAsia" w:hAnsiTheme="minorEastAsia" w:eastAsiaTheme="minorEastAsia"/>
                <w:b w:val="0"/>
                <w:color w:val="auto"/>
                <w:sz w:val="21"/>
              </w:rPr>
              <w:t>27</w:t>
            </w:r>
            <w:r>
              <w:rPr>
                <w:rFonts w:hint="eastAsia" w:asciiTheme="minorEastAsia" w:hAnsiTheme="minorEastAsia" w:eastAsiaTheme="minorEastAsia"/>
                <w:b w:val="0"/>
                <w:color w:val="auto"/>
                <w:sz w:val="21"/>
              </w:rPr>
              <w:t>年厚生労働省告示第</w:t>
            </w:r>
            <w:r>
              <w:rPr>
                <w:rFonts w:hint="eastAsia" w:asciiTheme="minorEastAsia" w:hAnsiTheme="minorEastAsia" w:eastAsiaTheme="minorEastAsia"/>
                <w:b w:val="0"/>
                <w:color w:val="auto"/>
                <w:sz w:val="21"/>
              </w:rPr>
              <w:t>94</w:t>
            </w:r>
            <w:r>
              <w:rPr>
                <w:rFonts w:hint="eastAsia" w:asciiTheme="minorEastAsia" w:hAnsiTheme="minorEastAsia" w:eastAsiaTheme="minorEastAsia"/>
                <w:b w:val="0"/>
                <w:color w:val="auto"/>
                <w:sz w:val="21"/>
              </w:rPr>
              <w:t>号第</w:t>
            </w:r>
            <w:r>
              <w:rPr>
                <w:rFonts w:hint="eastAsia" w:asciiTheme="minorEastAsia" w:hAnsiTheme="minorEastAsia" w:eastAsiaTheme="minorEastAsia"/>
                <w:b w:val="0"/>
                <w:color w:val="auto"/>
                <w:sz w:val="21"/>
              </w:rPr>
              <w:t>31</w:t>
            </w:r>
            <w:r>
              <w:rPr>
                <w:rFonts w:hint="eastAsia" w:asciiTheme="minorEastAsia" w:hAnsiTheme="minorEastAsia" w:eastAsiaTheme="minorEastAsia"/>
                <w:b w:val="0"/>
                <w:color w:val="auto"/>
                <w:sz w:val="21"/>
              </w:rPr>
              <w:t>号のイ）の状態像を参照ください。）</w:t>
            </w:r>
          </w:p>
          <w:p>
            <w:pPr>
              <w:pStyle w:val="0"/>
              <w:spacing w:after="0" w:afterLines="0" w:afterAutospacing="0" w:line="240" w:lineRule="exact"/>
              <w:ind w:left="840" w:hanging="840" w:hangingChars="400"/>
              <w:rPr>
                <w:rFonts w:hint="eastAsia" w:asciiTheme="minorEastAsia" w:hAnsiTheme="minorEastAsia" w:eastAsiaTheme="minorEastAsia"/>
                <w:b w:val="0"/>
                <w:color w:val="auto"/>
                <w:sz w:val="22"/>
              </w:rPr>
            </w:pPr>
          </w:p>
          <w:p>
            <w:pPr>
              <w:pStyle w:val="0"/>
              <w:spacing w:after="120" w:afterLines="0" w:afterAutospacing="0" w:line="240" w:lineRule="exact"/>
              <w:ind w:left="840" w:hanging="840" w:hangingChars="400"/>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sz w:val="24"/>
              </w:rPr>
              <w:t>□</w:t>
            </w:r>
            <w:r>
              <w:rPr>
                <w:rFonts w:hint="eastAsia" w:asciiTheme="minorEastAsia" w:hAnsiTheme="minorEastAsia" w:eastAsiaTheme="minorEastAsia"/>
                <w:b w:val="0"/>
                <w:color w:val="auto"/>
                <w:sz w:val="22"/>
              </w:rPr>
              <w:t>ⅰ）疾病その他の原因により、状態が変動しやすく、日によって又は時間によって、頻繁に表１の状態像に該当する者　（例：パーキンソン病の治療薬によるＯＮ・ＯＦＦ現象）</w:t>
            </w:r>
          </w:p>
          <w:p>
            <w:pPr>
              <w:pStyle w:val="0"/>
              <w:spacing w:after="120" w:afterLines="0" w:afterAutospacing="0" w:line="240" w:lineRule="exact"/>
              <w:ind w:left="880" w:hanging="880" w:hangingChars="400"/>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sz w:val="22"/>
              </w:rPr>
              <w:t>　</w:t>
            </w:r>
            <w:r>
              <w:rPr>
                <w:rFonts w:hint="eastAsia" w:asciiTheme="minorEastAsia" w:hAnsiTheme="minorEastAsia" w:eastAsiaTheme="minorEastAsia"/>
                <w:b w:val="0"/>
                <w:color w:val="auto"/>
                <w:sz w:val="24"/>
              </w:rPr>
              <w:t>□</w:t>
            </w:r>
            <w:r>
              <w:rPr>
                <w:rFonts w:hint="eastAsia" w:asciiTheme="minorEastAsia" w:hAnsiTheme="minorEastAsia" w:eastAsiaTheme="minorEastAsia"/>
                <w:b w:val="0"/>
                <w:color w:val="auto"/>
                <w:sz w:val="22"/>
              </w:rPr>
              <w:t>ⅱ）疾病その他の原因によ</w:t>
            </w:r>
            <w:r>
              <w:rPr>
                <w:rFonts w:hint="eastAsia" w:asciiTheme="minorEastAsia" w:hAnsiTheme="minorEastAsia" w:eastAsiaTheme="minorEastAsia"/>
                <w:b w:val="0"/>
                <w:color w:val="auto"/>
                <w:sz w:val="22"/>
              </w:rPr>
              <w:t>り</w:t>
            </w:r>
            <w:r>
              <w:rPr>
                <w:rFonts w:hint="eastAsia" w:asciiTheme="minorEastAsia" w:hAnsiTheme="minorEastAsia" w:eastAsiaTheme="minorEastAsia"/>
                <w:b w:val="0"/>
                <w:color w:val="auto"/>
                <w:sz w:val="22"/>
              </w:rPr>
              <w:t>、状態が急速に悪化し、短期間のうちに頻繁に表１の状態像に該当するに至ることが確実に見込まれる者　（例：がん末期の急速な状態悪化）</w:t>
            </w:r>
          </w:p>
          <w:p>
            <w:pPr>
              <w:pStyle w:val="0"/>
              <w:spacing w:line="240" w:lineRule="exact"/>
              <w:ind w:left="880" w:hanging="880" w:hangingChars="400"/>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sz w:val="22"/>
              </w:rPr>
              <w:t>　</w:t>
            </w:r>
            <w:r>
              <w:rPr>
                <w:rFonts w:hint="eastAsia" w:asciiTheme="minorEastAsia" w:hAnsiTheme="minorEastAsia" w:eastAsiaTheme="minorEastAsia"/>
                <w:b w:val="0"/>
                <w:color w:val="auto"/>
                <w:sz w:val="24"/>
              </w:rPr>
              <w:t>□</w:t>
            </w:r>
            <w:r>
              <w:rPr>
                <w:rFonts w:hint="eastAsia" w:asciiTheme="minorEastAsia" w:hAnsiTheme="minorEastAsia" w:eastAsiaTheme="minorEastAsia"/>
                <w:b w:val="0"/>
                <w:color w:val="auto"/>
                <w:sz w:val="22"/>
              </w:rPr>
              <w:t>ⅲ）疾病その他の原因により、身体への重大な危険性又は症状の重篤化の回避等医学的判断から、表１の状態像に該当すると判断できる者　（例：ぜんそく発作等による呼吸不全、心疾患による心不全、嚥下障害による誤嚥性肺炎の回避）</w:t>
            </w:r>
          </w:p>
          <w:p>
            <w:pPr>
              <w:pStyle w:val="0"/>
              <w:spacing w:line="240" w:lineRule="exact"/>
              <w:ind w:left="880" w:hanging="880" w:hangingChars="400"/>
              <w:rPr>
                <w:rFonts w:hint="eastAsia" w:asciiTheme="minorEastAsia" w:hAnsiTheme="minorEastAsia" w:eastAsiaTheme="minorEastAsia"/>
                <w:b w:val="0"/>
                <w:color w:val="auto"/>
                <w:sz w:val="22"/>
              </w:rPr>
            </w:pPr>
          </w:p>
          <w:p>
            <w:pPr>
              <w:pStyle w:val="0"/>
              <w:spacing w:line="240" w:lineRule="exact"/>
              <w:ind w:left="880" w:hanging="880" w:hangingChars="400"/>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w w:val="100"/>
                <w:sz w:val="22"/>
              </w:rPr>
              <w:t>〈車いす・移動用リフトを貸与される場合のみ選択可〉</w:t>
            </w:r>
          </w:p>
          <w:p>
            <w:pPr>
              <w:pStyle w:val="0"/>
              <w:spacing w:line="240" w:lineRule="exact"/>
              <w:ind w:left="930" w:leftChars="100" w:hanging="720" w:hangingChars="300"/>
              <w:rPr>
                <w:rFonts w:hint="eastAsia" w:asciiTheme="minorEastAsia" w:hAnsiTheme="minorEastAsia" w:eastAsiaTheme="minorEastAsia"/>
                <w:b w:val="0"/>
                <w:color w:val="auto"/>
                <w:sz w:val="22"/>
              </w:rPr>
            </w:pPr>
            <w:r>
              <w:rPr>
                <w:rFonts w:hint="eastAsia" w:asciiTheme="minorEastAsia" w:hAnsiTheme="minorEastAsia" w:eastAsiaTheme="minorEastAsia"/>
                <w:b w:val="0"/>
                <w:color w:val="auto"/>
                <w:sz w:val="24"/>
              </w:rPr>
              <w:t>□</w:t>
            </w:r>
            <w:r>
              <w:rPr>
                <w:rFonts w:hint="eastAsia" w:asciiTheme="minorEastAsia" w:hAnsiTheme="minorEastAsia" w:eastAsiaTheme="minorEastAsia"/>
                <w:b w:val="0"/>
                <w:color w:val="auto"/>
                <w:sz w:val="22"/>
              </w:rPr>
              <w:t>ⅳ）上記のいずれにも当てはまらない。</w:t>
            </w:r>
          </w:p>
          <w:p>
            <w:pPr>
              <w:pStyle w:val="0"/>
              <w:spacing w:line="300" w:lineRule="exact"/>
              <w:ind w:left="880" w:hanging="880" w:hangingChars="400"/>
              <w:rPr>
                <w:rFonts w:hint="eastAsia" w:asciiTheme="minorEastAsia" w:hAnsiTheme="minorEastAsia" w:eastAsiaTheme="minorEastAsia"/>
                <w:b w:val="0"/>
                <w:color w:val="auto"/>
                <w:sz w:val="22"/>
              </w:rPr>
            </w:pPr>
            <w:bookmarkStart w:id="0" w:name="_GoBack"/>
            <w:bookmarkEnd w:id="0"/>
          </w:p>
          <w:p>
            <w:pPr>
              <w:pStyle w:val="0"/>
              <w:spacing w:line="240" w:lineRule="exact"/>
              <w:rPr>
                <w:rFonts w:hint="eastAsia" w:asciiTheme="minorEastAsia" w:hAnsiTheme="minorEastAsia" w:eastAsiaTheme="minorEastAsia"/>
                <w:b w:val="0"/>
                <w:color w:val="auto"/>
                <w:sz w:val="18"/>
              </w:rPr>
            </w:pPr>
            <w:r>
              <w:rPr>
                <w:rFonts w:hint="eastAsia" w:asciiTheme="minorEastAsia" w:hAnsiTheme="minorEastAsia" w:eastAsiaTheme="minorEastAsia"/>
                <w:b w:val="0"/>
                <w:color w:val="auto"/>
              </w:rPr>
              <w:t>２．上記の状態に関係する疾病名と医学的所見等をご記入ください。</w:t>
            </w:r>
          </w:p>
          <w:p>
            <w:pPr>
              <w:pStyle w:val="0"/>
              <w:spacing w:line="240" w:lineRule="exact"/>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w:t>
            </w:r>
            <w:r>
              <w:rPr>
                <w:rFonts w:hint="eastAsia" w:asciiTheme="minorEastAsia" w:hAnsiTheme="minorEastAsia" w:eastAsiaTheme="minorEastAsia"/>
                <w:b w:val="0"/>
                <w:color w:val="auto"/>
                <w:sz w:val="18"/>
              </w:rPr>
              <w:t>※（ⅳ）を選択された場合は、医学的所見の欄に「福祉用具貸与が必要な理由」をご記入ください。</w:t>
            </w:r>
          </w:p>
          <w:tbl>
            <w:tblPr>
              <w:tblStyle w:val="21"/>
              <w:tblpPr w:leftFromText="0" w:rightFromText="0" w:topFromText="0" w:bottomFromText="0" w:vertAnchor="text" w:horzAnchor="margin" w:tblpX="331" w:tblpY="190"/>
              <w:tblOverlap w:val="never"/>
              <w:tblW w:w="9390" w:type="dxa"/>
              <w:tblLayout w:type="fixed"/>
              <w:tblLook w:firstRow="1" w:lastRow="0" w:firstColumn="1" w:lastColumn="0" w:noHBand="0" w:noVBand="1" w:val="04A0"/>
            </w:tblPr>
            <w:tblGrid>
              <w:gridCol w:w="1620"/>
              <w:gridCol w:w="7770"/>
            </w:tblGrid>
            <w:tr>
              <w:trPr>
                <w:trHeight w:val="557" w:hRule="atLeast"/>
              </w:trPr>
              <w:tc>
                <w:tcPr>
                  <w:tcW w:w="1620" w:type="dxa"/>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疾病名</w:t>
                  </w:r>
                </w:p>
              </w:tc>
              <w:tc>
                <w:tcPr>
                  <w:tcW w:w="7770" w:type="dxa"/>
                  <w:vAlign w:val="top"/>
                </w:tcPr>
                <w:p>
                  <w:pPr>
                    <w:pStyle w:val="0"/>
                    <w:rPr>
                      <w:rFonts w:hint="eastAsia" w:asciiTheme="minorEastAsia" w:hAnsiTheme="minorEastAsia" w:eastAsiaTheme="minorEastAsia"/>
                      <w:b w:val="0"/>
                      <w:sz w:val="18"/>
                    </w:rPr>
                  </w:pPr>
                </w:p>
              </w:tc>
            </w:tr>
            <w:tr>
              <w:trPr>
                <w:trHeight w:val="1469" w:hRule="atLeast"/>
              </w:trPr>
              <w:tc>
                <w:tcPr>
                  <w:tcW w:w="1620" w:type="dxa"/>
                  <w:vAlign w:val="center"/>
                </w:tcPr>
                <w:p>
                  <w:pPr>
                    <w:pStyle w:val="0"/>
                    <w:jc w:val="center"/>
                    <w:rPr>
                      <w:rFonts w:hint="eastAsia" w:asciiTheme="minorEastAsia" w:hAnsiTheme="minorEastAsia" w:eastAsiaTheme="minorEastAsia"/>
                      <w:b w:val="0"/>
                    </w:rPr>
                  </w:pPr>
                  <w:r>
                    <w:rPr>
                      <w:rFonts w:hint="eastAsia" w:asciiTheme="minorEastAsia" w:hAnsiTheme="minorEastAsia" w:eastAsiaTheme="minorEastAsia"/>
                      <w:b w:val="0"/>
                    </w:rPr>
                    <w:t>医学的所見</w:t>
                  </w:r>
                </w:p>
              </w:tc>
              <w:tc>
                <w:tcPr>
                  <w:tcW w:w="7770" w:type="dxa"/>
                  <w:vAlign w:val="top"/>
                </w:tcPr>
                <w:p>
                  <w:pPr>
                    <w:pStyle w:val="0"/>
                    <w:rPr>
                      <w:rFonts w:hint="eastAsia" w:asciiTheme="minorEastAsia" w:hAnsiTheme="minorEastAsia" w:eastAsiaTheme="minorEastAsia"/>
                      <w:b w:val="0"/>
                      <w:sz w:val="18"/>
                    </w:rPr>
                  </w:pPr>
                </w:p>
              </w:tc>
            </w:tr>
          </w:tbl>
          <w:p>
            <w:pPr>
              <w:pStyle w:val="0"/>
              <w:ind w:left="720" w:hanging="720" w:hangingChars="400"/>
              <w:rPr>
                <w:rFonts w:hint="eastAsia" w:asciiTheme="minorEastAsia" w:hAnsiTheme="minorEastAsia" w:eastAsiaTheme="minorEastAsia"/>
                <w:b w:val="0"/>
                <w:sz w:val="18"/>
              </w:rPr>
            </w:pPr>
          </w:p>
          <w:p>
            <w:pPr>
              <w:pStyle w:val="0"/>
              <w:ind w:left="720" w:hanging="720" w:hangingChars="400"/>
              <w:rPr>
                <w:rFonts w:hint="eastAsia" w:asciiTheme="minorEastAsia" w:hAnsiTheme="minorEastAsia" w:eastAsiaTheme="minorEastAsia"/>
                <w:b w:val="0"/>
                <w:sz w:val="18"/>
              </w:rPr>
            </w:pPr>
          </w:p>
          <w:p>
            <w:pPr>
              <w:pStyle w:val="0"/>
              <w:ind w:left="720" w:hanging="720" w:hangingChars="400"/>
              <w:rPr>
                <w:rFonts w:hint="eastAsia" w:asciiTheme="minorEastAsia" w:hAnsiTheme="minorEastAsia" w:eastAsiaTheme="minorEastAsia"/>
                <w:b w:val="0"/>
                <w:sz w:val="18"/>
              </w:rPr>
            </w:pPr>
          </w:p>
          <w:p>
            <w:pPr>
              <w:pStyle w:val="0"/>
              <w:ind w:left="720" w:hanging="720" w:hangingChars="400"/>
              <w:rPr>
                <w:rFonts w:hint="eastAsia" w:asciiTheme="minorEastAsia" w:hAnsiTheme="minorEastAsia" w:eastAsiaTheme="minorEastAsia"/>
                <w:b w:val="0"/>
                <w:sz w:val="18"/>
              </w:rPr>
            </w:pPr>
          </w:p>
          <w:p>
            <w:pPr>
              <w:pStyle w:val="0"/>
              <w:ind w:left="720" w:hanging="720" w:hangingChars="400"/>
              <w:rPr>
                <w:rFonts w:hint="eastAsia" w:asciiTheme="minorEastAsia" w:hAnsiTheme="minorEastAsia" w:eastAsiaTheme="minorEastAsia"/>
                <w:b w:val="0"/>
                <w:sz w:val="18"/>
              </w:rPr>
            </w:pPr>
          </w:p>
          <w:p>
            <w:pPr>
              <w:pStyle w:val="0"/>
              <w:ind w:left="720" w:hanging="720" w:hangingChars="400"/>
              <w:rPr>
                <w:rFonts w:hint="eastAsia" w:asciiTheme="minorEastAsia" w:hAnsiTheme="minorEastAsia" w:eastAsiaTheme="minorEastAsia"/>
                <w:b w:val="0"/>
                <w:sz w:val="18"/>
              </w:rPr>
            </w:pPr>
          </w:p>
          <w:p>
            <w:pPr>
              <w:pStyle w:val="0"/>
              <w:ind w:left="720" w:hanging="720" w:hangingChars="400"/>
              <w:rPr>
                <w:rFonts w:hint="eastAsia" w:asciiTheme="minorEastAsia" w:hAnsiTheme="minorEastAsia" w:eastAsiaTheme="minorEastAsia"/>
                <w:b w:val="0"/>
                <w:sz w:val="18"/>
              </w:rPr>
            </w:pPr>
          </w:p>
        </w:tc>
      </w:tr>
    </w:tbl>
    <w:p>
      <w:pPr>
        <w:pStyle w:val="0"/>
        <w:rPr>
          <w:rFonts w:hint="eastAsia" w:asciiTheme="minorEastAsia" w:hAnsiTheme="minorEastAsia" w:eastAsiaTheme="minorEastAsia"/>
          <w:b w:val="0"/>
        </w:rPr>
      </w:pPr>
      <w:r>
        <w:rPr>
          <w:rFonts w:hint="eastAsia" w:asciiTheme="minorEastAsia" w:hAnsiTheme="minorEastAsia" w:eastAsiaTheme="minorEastAsia"/>
          <w:b w:val="0"/>
        </w:rPr>
        <w:t>上記のとおり連絡いた</w:t>
      </w:r>
      <w:r>
        <w:rPr>
          <w:rFonts w:hint="eastAsia" w:asciiTheme="minorEastAsia" w:hAnsiTheme="minorEastAsia" w:eastAsiaTheme="minorEastAsia"/>
          <w:b w:val="0"/>
        </w:rPr>
        <w:t>します。</w:t>
      </w:r>
    </w:p>
    <w:p>
      <w:pPr>
        <w:pStyle w:val="0"/>
        <w:rPr>
          <w:rFonts w:hint="eastAsia" w:asciiTheme="minorEastAsia" w:hAnsiTheme="minorEastAsia" w:eastAsiaTheme="minorEastAsia"/>
          <w:b w:val="0"/>
          <w:u w:val="single" w:color="auto"/>
        </w:rPr>
      </w:pPr>
      <w:r>
        <w:rPr>
          <w:rFonts w:hint="eastAsia" w:asciiTheme="minorEastAsia" w:hAnsiTheme="minorEastAsia" w:eastAsiaTheme="minorEastAsia"/>
          <w:b w:val="0"/>
        </w:rPr>
        <w:t>　　　　年　　　　月　　　　日　　　　　　　　　　　主</w:t>
      </w:r>
      <w:r>
        <w:rPr>
          <w:rFonts w:hint="eastAsia" w:asciiTheme="minorEastAsia" w:hAnsiTheme="minorEastAsia" w:eastAsiaTheme="minorEastAsia"/>
          <w:b w:val="0"/>
        </w:rPr>
        <w:t>治医</w:t>
      </w:r>
      <w:r>
        <w:rPr>
          <w:rFonts w:hint="eastAsia" w:asciiTheme="minorEastAsia" w:hAnsiTheme="minorEastAsia" w:eastAsiaTheme="minorEastAsia"/>
          <w:b w:val="0"/>
          <w:u w:val="single" w:color="auto"/>
        </w:rPr>
        <w:t>　　　　　　　　　　　　　　　</w:t>
      </w:r>
    </w:p>
    <w:p>
      <w:pPr>
        <w:pStyle w:val="0"/>
        <w:rPr>
          <w:rFonts w:hint="default"/>
          <w:sz w:val="18"/>
        </w:rPr>
      </w:pPr>
      <w:r>
        <w:rPr>
          <w:rFonts w:hint="eastAsia"/>
        </w:rPr>
        <w:br w:type="page"/>
      </w:r>
      <w:r>
        <w:rPr>
          <w:rFonts w:hint="eastAsia"/>
          <w:b w:val="1"/>
          <w:sz w:val="28"/>
        </w:rPr>
        <w:t>表１</w:t>
      </w:r>
      <w:r>
        <w:rPr>
          <w:rFonts w:hint="eastAsia"/>
        </w:rPr>
        <w:t>（</w:t>
      </w:r>
      <w:r>
        <w:rPr>
          <w:rFonts w:hint="eastAsia"/>
          <w:sz w:val="18"/>
        </w:rPr>
        <w:t>平成２７年厚生労働省告示第９４号第３１号のイ）</w:t>
      </w:r>
    </w:p>
    <w:tbl>
      <w:tblPr>
        <w:tblStyle w:val="21"/>
        <w:tblW w:w="10415" w:type="dxa"/>
        <w:tblInd w:w="0" w:type="dxa"/>
        <w:tblLayout w:type="fixed"/>
        <w:tblLook w:firstRow="1" w:lastRow="0" w:firstColumn="1" w:lastColumn="0" w:noHBand="0" w:noVBand="1" w:val="04A0"/>
      </w:tblPr>
      <w:tblGrid>
        <w:gridCol w:w="3467"/>
        <w:gridCol w:w="6948"/>
      </w:tblGrid>
      <w:tr>
        <w:trPr/>
        <w:tc>
          <w:tcPr>
            <w:tcW w:w="346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貸与種目</w:t>
            </w:r>
          </w:p>
        </w:tc>
        <w:tc>
          <w:tcPr>
            <w:tcW w:w="694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auto"/>
              </w:rPr>
            </w:pPr>
            <w:r>
              <w:rPr>
                <w:rFonts w:hint="eastAsia"/>
                <w:color w:val="auto"/>
              </w:rPr>
              <w:t>厚生労働大臣が定める者（状態像）</w:t>
            </w:r>
          </w:p>
        </w:tc>
      </w:tr>
      <w:tr>
        <w:trPr>
          <w:trHeight w:val="630" w:hRule="atLeast"/>
        </w:trPr>
        <w:tc>
          <w:tcPr>
            <w:tcW w:w="34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ア</w:t>
            </w:r>
            <w:r>
              <w:rPr>
                <w:rFonts w:hint="eastAsia"/>
              </w:rPr>
              <w:t>.</w:t>
            </w:r>
            <w:r>
              <w:rPr>
                <w:rFonts w:hint="eastAsia"/>
              </w:rPr>
              <w:t>車いす及び同付属品</w:t>
            </w: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次のいずれかに該当する者</w:t>
            </w:r>
          </w:p>
          <w:p>
            <w:pPr>
              <w:pStyle w:val="0"/>
              <w:rPr>
                <w:rFonts w:hint="default"/>
              </w:rPr>
            </w:pPr>
            <w:r>
              <w:rPr>
                <w:rFonts w:hint="eastAsia"/>
              </w:rPr>
              <w:t>（１）日常的に歩行が困難な者</w:t>
            </w:r>
          </w:p>
        </w:tc>
      </w:tr>
      <w:tr>
        <w:trPr>
          <w:trHeight w:val="371" w:hRule="atLeast"/>
        </w:trPr>
        <w:tc>
          <w:tcPr>
            <w:tcW w:w="34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630" w:hanging="630" w:hangingChars="300"/>
              <w:rPr>
                <w:rFonts w:hint="default"/>
              </w:rPr>
            </w:pPr>
            <w:r>
              <w:rPr>
                <w:rFonts w:hint="eastAsia"/>
              </w:rPr>
              <w:t>（２）日常生活範囲における移動の支援が特に必要と認められる者</w:t>
            </w:r>
          </w:p>
        </w:tc>
      </w:tr>
      <w:tr>
        <w:trPr>
          <w:trHeight w:val="360" w:hRule="atLeast"/>
        </w:trPr>
        <w:tc>
          <w:tcPr>
            <w:tcW w:w="34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イ</w:t>
            </w:r>
            <w:r>
              <w:rPr>
                <w:rFonts w:hint="eastAsia"/>
              </w:rPr>
              <w:t>.</w:t>
            </w:r>
            <w:r>
              <w:rPr>
                <w:rFonts w:hint="eastAsia"/>
              </w:rPr>
              <w:t>特殊寝台及び同付属品</w:t>
            </w: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次のいずれかに該当する者</w:t>
            </w:r>
          </w:p>
          <w:p>
            <w:pPr>
              <w:pStyle w:val="0"/>
              <w:rPr>
                <w:rFonts w:hint="default"/>
              </w:rPr>
            </w:pPr>
            <w:r>
              <w:rPr>
                <w:rFonts w:hint="eastAsia"/>
              </w:rPr>
              <w:t>（１）日常的に起きあがりが困難な者</w:t>
            </w:r>
          </w:p>
        </w:tc>
      </w:tr>
      <w:tr>
        <w:trPr>
          <w:trHeight w:val="360" w:hRule="atLeast"/>
        </w:trPr>
        <w:tc>
          <w:tcPr>
            <w:tcW w:w="34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（２）日常的に寝返りが困難な者</w:t>
            </w:r>
          </w:p>
        </w:tc>
      </w:tr>
      <w:tr>
        <w:trPr/>
        <w:tc>
          <w:tcPr>
            <w:tcW w:w="346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ウ</w:t>
            </w:r>
            <w:r>
              <w:rPr>
                <w:rFonts w:hint="eastAsia"/>
              </w:rPr>
              <w:t>.</w:t>
            </w:r>
            <w:r>
              <w:rPr>
                <w:rFonts w:hint="eastAsia"/>
              </w:rPr>
              <w:t>床ずれ防止用具及び体位変換器</w:t>
            </w: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日常的に寝返りが困難な者</w:t>
            </w:r>
          </w:p>
        </w:tc>
      </w:tr>
      <w:tr>
        <w:trPr>
          <w:trHeight w:val="1631" w:hRule="atLeast"/>
        </w:trPr>
        <w:tc>
          <w:tcPr>
            <w:tcW w:w="346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エ</w:t>
            </w:r>
            <w:r>
              <w:rPr>
                <w:rFonts w:hint="eastAsia"/>
              </w:rPr>
              <w:t>.</w:t>
            </w:r>
            <w:r>
              <w:rPr>
                <w:rFonts w:hint="eastAsia"/>
              </w:rPr>
              <w:t>認知症老人徘徊感知器</w:t>
            </w: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次のいずれにも該当する者</w:t>
            </w:r>
          </w:p>
          <w:p>
            <w:pPr>
              <w:pStyle w:val="0"/>
              <w:ind w:left="630" w:hanging="630" w:hangingChars="300"/>
              <w:rPr>
                <w:rFonts w:hint="default"/>
              </w:rPr>
            </w:pPr>
            <w:r>
              <w:rPr>
                <w:rFonts w:hint="eastAsia"/>
              </w:rPr>
              <w:t>（１）意思の伝達、介護者への反応、記憶・理解のいずれかに支障が</w:t>
            </w:r>
          </w:p>
          <w:p>
            <w:pPr>
              <w:pStyle w:val="0"/>
              <w:ind w:left="630" w:hanging="630" w:hangingChars="300"/>
              <w:rPr>
                <w:rFonts w:hint="default"/>
              </w:rPr>
            </w:pPr>
            <w:r>
              <w:rPr>
                <w:rFonts w:hint="eastAsia"/>
              </w:rPr>
              <w:t>　　　ある者</w:t>
            </w:r>
          </w:p>
          <w:p>
            <w:pPr>
              <w:pStyle w:val="0"/>
              <w:rPr>
                <w:rFonts w:hint="default"/>
              </w:rPr>
            </w:pPr>
            <w:r>
              <w:rPr>
                <w:rFonts w:hint="eastAsia"/>
              </w:rPr>
              <w:t>（２）移動において全介助を必要としない者</w:t>
            </w:r>
          </w:p>
        </w:tc>
      </w:tr>
      <w:tr>
        <w:trPr>
          <w:trHeight w:val="240" w:hRule="atLeast"/>
        </w:trPr>
        <w:tc>
          <w:tcPr>
            <w:tcW w:w="346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オ</w:t>
            </w:r>
            <w:r>
              <w:rPr>
                <w:rFonts w:hint="eastAsia"/>
              </w:rPr>
              <w:t>.</w:t>
            </w:r>
            <w:r>
              <w:rPr>
                <w:rFonts w:hint="eastAsia"/>
              </w:rPr>
              <w:t>移動用リフト</w:t>
            </w:r>
          </w:p>
          <w:p>
            <w:pPr>
              <w:pStyle w:val="0"/>
              <w:rPr>
                <w:rFonts w:hint="default"/>
              </w:rPr>
            </w:pPr>
            <w:r>
              <w:rPr>
                <w:rFonts w:hint="eastAsia"/>
              </w:rPr>
              <w:t>　（つり具部分は除く）</w:t>
            </w: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次のいずれかに該当する者</w:t>
            </w:r>
          </w:p>
          <w:p>
            <w:pPr>
              <w:pStyle w:val="0"/>
              <w:rPr>
                <w:rFonts w:hint="default"/>
              </w:rPr>
            </w:pPr>
            <w:r>
              <w:rPr>
                <w:rFonts w:hint="eastAsia"/>
              </w:rPr>
              <w:t>（１）日常的に立ち上がりが困難な者</w:t>
            </w:r>
          </w:p>
        </w:tc>
      </w:tr>
      <w:tr>
        <w:trPr>
          <w:trHeight w:val="240" w:hRule="atLeast"/>
        </w:trPr>
        <w:tc>
          <w:tcPr>
            <w:tcW w:w="34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（２）移乗が一部介助又は全介助を必要とする者</w:t>
            </w:r>
          </w:p>
        </w:tc>
      </w:tr>
      <w:tr>
        <w:trPr>
          <w:trHeight w:val="240" w:hRule="atLeast"/>
        </w:trPr>
        <w:tc>
          <w:tcPr>
            <w:tcW w:w="346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694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630" w:hanging="630" w:hangingChars="300"/>
              <w:rPr>
                <w:rFonts w:hint="default"/>
              </w:rPr>
            </w:pPr>
            <w:r>
              <w:rPr>
                <w:rFonts w:hint="eastAsia"/>
              </w:rPr>
              <w:t>（３）生活環境において段差の解消が必要と認められる者</w:t>
            </w:r>
          </w:p>
        </w:tc>
      </w:tr>
      <w:tr>
        <w:trPr>
          <w:trHeight w:val="1080" w:hRule="atLeast"/>
        </w:trPr>
        <w:tc>
          <w:tcPr>
            <w:tcW w:w="3467"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r>
              <w:rPr>
                <w:rFonts w:hint="eastAsia"/>
              </w:rPr>
              <w:t>カ</w:t>
            </w:r>
            <w:r>
              <w:rPr>
                <w:rFonts w:hint="eastAsia"/>
              </w:rPr>
              <w:t>.</w:t>
            </w:r>
            <w:r>
              <w:rPr>
                <w:rFonts w:hint="eastAsia"/>
              </w:rPr>
              <w:t>自動排泄処理装置</w:t>
            </w:r>
          </w:p>
          <w:p>
            <w:pPr>
              <w:pStyle w:val="0"/>
              <w:ind w:left="420" w:hanging="420" w:hangingChars="200"/>
              <w:rPr>
                <w:rFonts w:hint="default"/>
              </w:rPr>
            </w:pPr>
            <w:r>
              <w:rPr>
                <w:rFonts w:hint="eastAsia"/>
              </w:rPr>
              <w:t>　（尿のみを自動的に吸引するものを除く）</w:t>
            </w:r>
          </w:p>
        </w:tc>
        <w:tc>
          <w:tcPr>
            <w:tcW w:w="694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630" w:hanging="630" w:hangingChars="300"/>
              <w:rPr>
                <w:rFonts w:hint="default"/>
              </w:rPr>
            </w:pPr>
            <w:r>
              <w:rPr>
                <w:rFonts w:hint="eastAsia"/>
              </w:rPr>
              <w:t>次のいずれにも該当する者</w:t>
            </w:r>
          </w:p>
          <w:p>
            <w:pPr>
              <w:pStyle w:val="0"/>
              <w:ind w:left="630" w:hanging="630" w:hangingChars="300"/>
              <w:rPr>
                <w:rFonts w:hint="default"/>
              </w:rPr>
            </w:pPr>
            <w:r>
              <w:rPr>
                <w:rFonts w:hint="eastAsia"/>
              </w:rPr>
              <w:t>（１）排便が全介助を必要とする者</w:t>
            </w:r>
          </w:p>
          <w:p>
            <w:pPr>
              <w:pStyle w:val="0"/>
              <w:ind w:left="630" w:hanging="630" w:hangingChars="300"/>
              <w:rPr>
                <w:rFonts w:hint="default"/>
              </w:rPr>
            </w:pPr>
            <w:r>
              <w:rPr>
                <w:rFonts w:hint="eastAsia"/>
              </w:rPr>
              <w:t>（２）移動が全介助を必要とする者</w:t>
            </w:r>
          </w:p>
        </w:tc>
      </w:tr>
    </w:tbl>
    <w:p>
      <w:pPr>
        <w:pStyle w:val="0"/>
        <w:rPr>
          <w:rFonts w:hint="default"/>
        </w:rPr>
      </w:pPr>
    </w:p>
    <w:p>
      <w:pPr>
        <w:pStyle w:val="0"/>
        <w:rPr>
          <w:rFonts w:hint="default"/>
        </w:rPr>
      </w:pPr>
      <w:r>
        <w:rPr>
          <w:rFonts w:hint="eastAsia"/>
        </w:rPr>
        <w:t>※具体的な状態像や疾病の事例（医学的所見な所見の記載例）</w:t>
      </w:r>
    </w:p>
    <w:tbl>
      <w:tblPr>
        <w:tblStyle w:val="21"/>
        <w:tblW w:w="10402" w:type="dxa"/>
        <w:tblInd w:w="0" w:type="dxa"/>
        <w:tblLayout w:type="fixed"/>
        <w:tblLook w:firstRow="1" w:lastRow="0" w:firstColumn="1" w:lastColumn="0" w:noHBand="0" w:noVBand="1" w:val="04A0"/>
      </w:tblPr>
      <w:tblGrid>
        <w:gridCol w:w="2235"/>
        <w:gridCol w:w="5953"/>
        <w:gridCol w:w="2214"/>
      </w:tblGrid>
      <w:tr>
        <w:trPr/>
        <w:tc>
          <w:tcPr>
            <w:tcW w:w="2235" w:type="dxa"/>
            <w:vAlign w:val="center"/>
          </w:tcPr>
          <w:p>
            <w:pPr>
              <w:pStyle w:val="0"/>
              <w:jc w:val="center"/>
              <w:rPr>
                <w:rFonts w:hint="default"/>
              </w:rPr>
            </w:pPr>
            <w:r>
              <w:rPr>
                <w:rFonts w:hint="eastAsia"/>
              </w:rPr>
              <w:t>事例類型</w:t>
            </w:r>
          </w:p>
        </w:tc>
        <w:tc>
          <w:tcPr>
            <w:tcW w:w="5953" w:type="dxa"/>
            <w:vAlign w:val="center"/>
          </w:tcPr>
          <w:p>
            <w:pPr>
              <w:pStyle w:val="0"/>
              <w:jc w:val="center"/>
              <w:rPr>
                <w:rFonts w:hint="default"/>
              </w:rPr>
            </w:pPr>
            <w:r>
              <w:rPr>
                <w:rFonts w:hint="eastAsia"/>
              </w:rPr>
              <w:t>状態像の例</w:t>
            </w:r>
          </w:p>
        </w:tc>
        <w:tc>
          <w:tcPr>
            <w:tcW w:w="2214" w:type="dxa"/>
            <w:vAlign w:val="center"/>
          </w:tcPr>
          <w:p>
            <w:pPr>
              <w:pStyle w:val="0"/>
              <w:jc w:val="center"/>
              <w:rPr>
                <w:rFonts w:hint="default"/>
              </w:rPr>
            </w:pPr>
            <w:r>
              <w:rPr>
                <w:rFonts w:hint="eastAsia"/>
              </w:rPr>
              <w:t>福祉用具種目例</w:t>
            </w:r>
          </w:p>
        </w:tc>
      </w:tr>
      <w:tr>
        <w:trPr>
          <w:trHeight w:val="871" w:hRule="atLeast"/>
        </w:trPr>
        <w:tc>
          <w:tcPr>
            <w:tcW w:w="2235" w:type="dxa"/>
            <w:vMerge w:val="restart"/>
            <w:vAlign w:val="top"/>
          </w:tcPr>
          <w:p>
            <w:pPr>
              <w:pStyle w:val="0"/>
              <w:rPr>
                <w:rFonts w:hint="default"/>
              </w:rPr>
            </w:pPr>
            <w:r>
              <w:rPr>
                <w:rFonts w:hint="eastAsia"/>
              </w:rPr>
              <w:t>ⅰ）頻繁な状態変動</w:t>
            </w:r>
          </w:p>
        </w:tc>
        <w:tc>
          <w:tcPr>
            <w:tcW w:w="5953" w:type="dxa"/>
            <w:vAlign w:val="top"/>
          </w:tcPr>
          <w:p>
            <w:pPr>
              <w:pStyle w:val="0"/>
              <w:rPr>
                <w:rFonts w:hint="default"/>
              </w:rPr>
            </w:pPr>
            <w:r>
              <w:rPr>
                <w:rFonts w:hint="eastAsia"/>
              </w:rPr>
              <w:t>パーキンソン病で内服加療中の「ＯＮ・ＯＦＦ現象」によって頻繁に臥位からの起き上がりが困難となる。</w:t>
            </w:r>
          </w:p>
        </w:tc>
        <w:tc>
          <w:tcPr>
            <w:tcW w:w="2214" w:type="dxa"/>
            <w:vAlign w:val="top"/>
          </w:tcPr>
          <w:p>
            <w:pPr>
              <w:pStyle w:val="0"/>
              <w:rPr>
                <w:rFonts w:hint="default"/>
              </w:rPr>
            </w:pPr>
            <w:r>
              <w:rPr>
                <w:rFonts w:hint="eastAsia"/>
              </w:rPr>
              <w:t>特殊寝台</w:t>
            </w:r>
          </w:p>
        </w:tc>
      </w:tr>
      <w:tr>
        <w:trPr>
          <w:trHeight w:val="1136" w:hRule="atLeast"/>
        </w:trPr>
        <w:tc>
          <w:tcPr>
            <w:tcW w:w="2235" w:type="dxa"/>
            <w:vMerge w:val="continue"/>
            <w:vAlign w:val="top"/>
          </w:tcPr>
          <w:p>
            <w:pPr>
              <w:pStyle w:val="0"/>
              <w:rPr>
                <w:rFonts w:hint="default"/>
              </w:rPr>
            </w:pPr>
          </w:p>
        </w:tc>
        <w:tc>
          <w:tcPr>
            <w:tcW w:w="5953" w:type="dxa"/>
            <w:vAlign w:val="top"/>
          </w:tcPr>
          <w:p>
            <w:pPr>
              <w:pStyle w:val="0"/>
              <w:rPr>
                <w:rFonts w:hint="default"/>
              </w:rPr>
            </w:pPr>
            <w:r>
              <w:rPr>
                <w:rFonts w:hint="eastAsia"/>
              </w:rPr>
              <w:t>重度の関節リウマチによる関節のこわばりが朝方に強くなるため、畳からポータブルトイレへの移乗が全介助を要する状態となる。</w:t>
            </w:r>
          </w:p>
        </w:tc>
        <w:tc>
          <w:tcPr>
            <w:tcW w:w="2214" w:type="dxa"/>
            <w:vAlign w:val="top"/>
          </w:tcPr>
          <w:p>
            <w:pPr>
              <w:pStyle w:val="0"/>
              <w:rPr>
                <w:rFonts w:hint="default"/>
              </w:rPr>
            </w:pPr>
            <w:r>
              <w:rPr>
                <w:rFonts w:hint="eastAsia"/>
              </w:rPr>
              <w:t>移動用リフト</w:t>
            </w:r>
          </w:p>
          <w:p>
            <w:pPr>
              <w:pStyle w:val="0"/>
              <w:rPr>
                <w:rFonts w:hint="default"/>
              </w:rPr>
            </w:pPr>
            <w:r>
              <w:rPr>
                <w:rFonts w:hint="eastAsia"/>
              </w:rPr>
              <w:t>（昇降座椅子）</w:t>
            </w:r>
          </w:p>
        </w:tc>
      </w:tr>
      <w:tr>
        <w:trPr>
          <w:trHeight w:val="841" w:hRule="atLeast"/>
        </w:trPr>
        <w:tc>
          <w:tcPr>
            <w:tcW w:w="2235" w:type="dxa"/>
            <w:vAlign w:val="top"/>
          </w:tcPr>
          <w:p>
            <w:pPr>
              <w:pStyle w:val="0"/>
              <w:rPr>
                <w:rFonts w:hint="default"/>
              </w:rPr>
            </w:pPr>
            <w:r>
              <w:rPr>
                <w:rFonts w:hint="eastAsia"/>
              </w:rPr>
              <w:t>ⅱ）急性憎悪</w:t>
            </w:r>
          </w:p>
        </w:tc>
        <w:tc>
          <w:tcPr>
            <w:tcW w:w="5953" w:type="dxa"/>
            <w:vAlign w:val="top"/>
          </w:tcPr>
          <w:p>
            <w:pPr>
              <w:pStyle w:val="0"/>
              <w:rPr>
                <w:rFonts w:hint="default"/>
              </w:rPr>
            </w:pPr>
            <w:r>
              <w:rPr>
                <w:rFonts w:hint="eastAsia"/>
              </w:rPr>
              <w:t>がん末期により急激に状態が悪化し、短期間で寝返りや起き上がりが困難な状態に至ると確実に見込まれる。</w:t>
            </w:r>
          </w:p>
        </w:tc>
        <w:tc>
          <w:tcPr>
            <w:tcW w:w="2214" w:type="dxa"/>
            <w:vAlign w:val="top"/>
          </w:tcPr>
          <w:p>
            <w:pPr>
              <w:pStyle w:val="0"/>
              <w:rPr>
                <w:rFonts w:hint="default"/>
              </w:rPr>
            </w:pPr>
            <w:r>
              <w:rPr>
                <w:rFonts w:hint="eastAsia"/>
              </w:rPr>
              <w:t>特殊寝台</w:t>
            </w:r>
          </w:p>
        </w:tc>
      </w:tr>
      <w:tr>
        <w:trPr>
          <w:trHeight w:val="718" w:hRule="atLeast"/>
        </w:trPr>
        <w:tc>
          <w:tcPr>
            <w:tcW w:w="2235" w:type="dxa"/>
            <w:vMerge w:val="restart"/>
            <w:vAlign w:val="top"/>
          </w:tcPr>
          <w:p>
            <w:pPr>
              <w:pStyle w:val="0"/>
              <w:rPr>
                <w:rFonts w:hint="default"/>
              </w:rPr>
            </w:pPr>
            <w:r>
              <w:rPr>
                <w:rFonts w:hint="eastAsia"/>
              </w:rPr>
              <w:t>ⅲ）重篤化回避</w:t>
            </w:r>
          </w:p>
        </w:tc>
        <w:tc>
          <w:tcPr>
            <w:tcW w:w="5953" w:type="dxa"/>
            <w:vAlign w:val="top"/>
          </w:tcPr>
          <w:p>
            <w:pPr>
              <w:pStyle w:val="0"/>
              <w:rPr>
                <w:rFonts w:hint="default"/>
              </w:rPr>
            </w:pPr>
            <w:r>
              <w:rPr>
                <w:rFonts w:hint="eastAsia"/>
              </w:rPr>
              <w:t>重度の喘息発作で、呼吸苦の重篤化を回避するため、上体を一定の角度に起こす必要がある。</w:t>
            </w:r>
          </w:p>
        </w:tc>
        <w:tc>
          <w:tcPr>
            <w:tcW w:w="2214" w:type="dxa"/>
            <w:vAlign w:val="top"/>
          </w:tcPr>
          <w:p>
            <w:pPr>
              <w:pStyle w:val="0"/>
              <w:rPr>
                <w:rFonts w:hint="default"/>
              </w:rPr>
            </w:pPr>
            <w:r>
              <w:rPr>
                <w:rFonts w:hint="eastAsia"/>
              </w:rPr>
              <w:t>特殊寝台</w:t>
            </w:r>
          </w:p>
          <w:p>
            <w:pPr>
              <w:pStyle w:val="0"/>
              <w:rPr>
                <w:rFonts w:hint="default"/>
              </w:rPr>
            </w:pPr>
          </w:p>
        </w:tc>
      </w:tr>
      <w:tr>
        <w:trPr>
          <w:trHeight w:val="701" w:hRule="atLeast"/>
        </w:trPr>
        <w:tc>
          <w:tcPr>
            <w:tcW w:w="2235" w:type="dxa"/>
            <w:vMerge w:val="continue"/>
            <w:vAlign w:val="top"/>
          </w:tcPr>
          <w:p>
            <w:pPr>
              <w:pStyle w:val="0"/>
              <w:rPr>
                <w:rFonts w:hint="default"/>
              </w:rPr>
            </w:pPr>
          </w:p>
        </w:tc>
        <w:tc>
          <w:tcPr>
            <w:tcW w:w="5953" w:type="dxa"/>
            <w:vAlign w:val="top"/>
          </w:tcPr>
          <w:p>
            <w:pPr>
              <w:pStyle w:val="0"/>
              <w:rPr>
                <w:rFonts w:hint="default"/>
              </w:rPr>
            </w:pPr>
            <w:r>
              <w:rPr>
                <w:rFonts w:hint="eastAsia"/>
              </w:rPr>
              <w:t>重度の心疾患で、心不全発作の危険性が著しく高く、急激な体動を医学的見地から回避する必要がある。</w:t>
            </w:r>
          </w:p>
        </w:tc>
        <w:tc>
          <w:tcPr>
            <w:tcW w:w="2214" w:type="dxa"/>
            <w:vAlign w:val="top"/>
          </w:tcPr>
          <w:p>
            <w:pPr>
              <w:pStyle w:val="0"/>
              <w:rPr>
                <w:rFonts w:hint="default"/>
              </w:rPr>
            </w:pPr>
            <w:r>
              <w:rPr>
                <w:rFonts w:hint="eastAsia"/>
              </w:rPr>
              <w:t>特殊寝台</w:t>
            </w:r>
          </w:p>
        </w:tc>
      </w:tr>
      <w:tr>
        <w:trPr>
          <w:trHeight w:val="832" w:hRule="atLeast"/>
        </w:trPr>
        <w:tc>
          <w:tcPr>
            <w:tcW w:w="2235" w:type="dxa"/>
            <w:vMerge w:val="continue"/>
            <w:vAlign w:val="top"/>
          </w:tcPr>
          <w:p>
            <w:pPr>
              <w:pStyle w:val="0"/>
              <w:rPr>
                <w:rFonts w:hint="default"/>
              </w:rPr>
            </w:pPr>
          </w:p>
        </w:tc>
        <w:tc>
          <w:tcPr>
            <w:tcW w:w="5953" w:type="dxa"/>
            <w:vAlign w:val="top"/>
          </w:tcPr>
          <w:p>
            <w:pPr>
              <w:pStyle w:val="0"/>
              <w:rPr>
                <w:rFonts w:hint="default"/>
              </w:rPr>
            </w:pPr>
            <w:r>
              <w:rPr>
                <w:rFonts w:hint="eastAsia"/>
              </w:rPr>
              <w:t>脊髄損傷による下半身麻痺により、下半身の自発的な体位交換が困難なため、床ずれの発生リスクが高い。</w:t>
            </w:r>
          </w:p>
        </w:tc>
        <w:tc>
          <w:tcPr>
            <w:tcW w:w="2214" w:type="dxa"/>
            <w:vAlign w:val="top"/>
          </w:tcPr>
          <w:p>
            <w:pPr>
              <w:pStyle w:val="0"/>
              <w:rPr>
                <w:rFonts w:hint="default"/>
              </w:rPr>
            </w:pPr>
            <w:r>
              <w:rPr>
                <w:rFonts w:hint="eastAsia"/>
              </w:rPr>
              <w:t>床ずれ防止用具及び体位変換器</w:t>
            </w:r>
          </w:p>
        </w:tc>
      </w:tr>
      <w:tr>
        <w:trPr>
          <w:trHeight w:val="1146" w:hRule="atLeast"/>
        </w:trPr>
        <w:tc>
          <w:tcPr>
            <w:tcW w:w="2235" w:type="dxa"/>
            <w:vMerge w:val="continue"/>
            <w:vAlign w:val="top"/>
          </w:tcPr>
          <w:p>
            <w:pPr>
              <w:pStyle w:val="0"/>
              <w:rPr>
                <w:rFonts w:hint="eastAsia"/>
              </w:rPr>
            </w:pPr>
          </w:p>
        </w:tc>
        <w:tc>
          <w:tcPr>
            <w:tcW w:w="5953" w:type="dxa"/>
            <w:vAlign w:val="top"/>
          </w:tcPr>
          <w:p>
            <w:pPr>
              <w:pStyle w:val="0"/>
              <w:rPr>
                <w:rFonts w:hint="default"/>
              </w:rPr>
            </w:pPr>
            <w:r>
              <w:rPr>
                <w:rFonts w:hint="eastAsia"/>
              </w:rPr>
              <w:t>人工関節術後で、立ち座りに伴い股関節脱臼の危険性が高いため、医学的見地から股関節への負担を回避する必要があり、畳から椅子への移乗に一部介助を必要とする。</w:t>
            </w:r>
          </w:p>
        </w:tc>
        <w:tc>
          <w:tcPr>
            <w:tcW w:w="2214" w:type="dxa"/>
            <w:vAlign w:val="top"/>
          </w:tcPr>
          <w:p>
            <w:pPr>
              <w:pStyle w:val="0"/>
              <w:rPr>
                <w:rFonts w:hint="default"/>
              </w:rPr>
            </w:pPr>
            <w:r>
              <w:rPr>
                <w:rFonts w:hint="eastAsia"/>
              </w:rPr>
              <w:t>移動用リフト</w:t>
            </w:r>
          </w:p>
          <w:p>
            <w:pPr>
              <w:pStyle w:val="0"/>
              <w:rPr>
                <w:rFonts w:hint="default"/>
              </w:rPr>
            </w:pPr>
            <w:r>
              <w:rPr>
                <w:rFonts w:hint="eastAsia"/>
              </w:rPr>
              <w:t>（昇降座椅子）</w:t>
            </w:r>
          </w:p>
        </w:tc>
      </w:tr>
    </w:tbl>
    <w:p>
      <w:pPr>
        <w:pStyle w:val="0"/>
        <w:rPr>
          <w:rFonts w:hint="default"/>
        </w:rPr>
      </w:pPr>
    </w:p>
    <w:sectPr>
      <w:pgSz w:w="11906" w:h="16838"/>
      <w:pgMar w:top="567" w:right="851" w:bottom="283"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TASK Font">
    <w:panose1 w:val="00000000000000000000"/>
    <w:charset w:val="80"/>
    <w:family w:val="auto"/>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Microsoft YaHei UI Light">
    <w:panose1 w:val="00000000000000000000"/>
    <w:charset w:val="80"/>
    <w:family w:val="swiss"/>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541</TotalTime>
  <Pages>2</Pages>
  <Words>3</Words>
  <Characters>1767</Characters>
  <Application>JUST Note</Application>
  <Lines>346</Lines>
  <Paragraphs>87</Paragraphs>
  <Company>南丹市役所</Company>
  <CharactersWithSpaces>1841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2024-09-26T09:07:35Z</cp:lastPrinted>
  <dcterms:created xsi:type="dcterms:W3CDTF">2017-08-28T08:02:00Z</dcterms:created>
  <dcterms:modified xsi:type="dcterms:W3CDTF">2024-09-26T08:56:30Z</dcterms:modified>
  <cp:revision>23</cp:revision>
</cp:coreProperties>
</file>