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p>
    <w:p>
      <w:pPr>
        <w:pStyle w:val="0"/>
        <w:jc w:val="center"/>
        <w:rPr>
          <w:rFonts w:hint="default"/>
          <w:sz w:val="32"/>
        </w:rPr>
      </w:pP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介護サービス事業者</w:t>
      </w: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自主点検表</w:t>
      </w: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b w:val="1"/>
          <w:sz w:val="40"/>
        </w:rPr>
        <w:t>介護予防小規模多機能型居宅介護</w:t>
      </w:r>
    </w:p>
    <w:p>
      <w:pPr>
        <w:pStyle w:val="0"/>
        <w:jc w:val="center"/>
        <w:rPr>
          <w:rFonts w:hint="default"/>
          <w:sz w:val="40"/>
        </w:rPr>
      </w:pPr>
    </w:p>
    <w:p>
      <w:pPr>
        <w:pStyle w:val="0"/>
        <w:jc w:val="center"/>
        <w:rPr>
          <w:rFonts w:hint="default"/>
        </w:rPr>
      </w:pPr>
    </w:p>
    <w:p>
      <w:pPr>
        <w:pStyle w:val="0"/>
        <w:rPr>
          <w:rFonts w:hint="eastAsia"/>
        </w:rPr>
      </w:pPr>
    </w:p>
    <w:p>
      <w:pPr>
        <w:pStyle w:val="0"/>
        <w:rPr>
          <w:rFonts w:hint="default"/>
        </w:rPr>
      </w:pPr>
    </w:p>
    <w:tbl>
      <w:tblPr>
        <w:tblStyle w:val="11"/>
        <w:tblW w:w="9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80"/>
        <w:gridCol w:w="7215"/>
      </w:tblGrid>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点検年月日</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　　　　　年　　　　月　　　　日</w:t>
            </w:r>
          </w:p>
        </w:tc>
      </w:tr>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事業所名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r>
      <w:tr>
        <w:trPr>
          <w:trHeight w:val="852"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担当者職・氏名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r>
    </w:tbl>
    <w:p>
      <w:pPr>
        <w:pStyle w:val="0"/>
        <w:rPr>
          <w:rFonts w:hint="eastAsia"/>
        </w:rPr>
      </w:pPr>
    </w:p>
    <w:p>
      <w:pPr>
        <w:pStyle w:val="0"/>
        <w:rPr>
          <w:rFonts w:hint="eastAsia"/>
        </w:rPr>
      </w:pPr>
    </w:p>
    <w:p>
      <w:pPr>
        <w:pStyle w:val="0"/>
        <w:rPr>
          <w:rFonts w:hint="eastAsia"/>
        </w:rPr>
      </w:pPr>
    </w:p>
    <w:p>
      <w:pPr>
        <w:pStyle w:val="0"/>
        <w:rPr>
          <w:rFonts w:hint="eastAsia"/>
        </w:rPr>
      </w:pPr>
    </w:p>
    <w:p>
      <w:pPr>
        <w:rPr>
          <w:rFonts w:hint="eastAsia"/>
          <w:color w:val="auto"/>
        </w:rPr>
        <w:sectPr>
          <w:headerReference r:id="rId5" w:type="default"/>
          <w:footerReference r:id="rId6" w:type="default"/>
          <w:pgSz w:w="11907" w:h="16840"/>
          <w:pgMar w:top="1134" w:right="1020" w:bottom="1134" w:left="1020" w:header="783" w:footer="567" w:gutter="0"/>
          <w:cols w:space="720"/>
          <w:titlePg w:val="1"/>
          <w:textDirection w:val="lrTb"/>
          <w:docGrid w:type="lines" w:linePitch="260"/>
        </w:sectPr>
      </w:pPr>
    </w:p>
    <w:tbl>
      <w:tblPr>
        <w:tblStyle w:val="11"/>
        <w:tblW w:w="10137" w:type="dxa"/>
        <w:tblInd w:w="-1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108" w:type="dxa"/>
          <w:bottom w:w="85" w:type="dxa"/>
          <w:right w:w="108" w:type="dxa"/>
        </w:tblCellMar>
        <w:tblLook w:firstRow="1" w:lastRow="0" w:firstColumn="1" w:lastColumn="0" w:noHBand="0" w:noVBand="1" w:val="04A0"/>
      </w:tblPr>
      <w:tblGrid>
        <w:gridCol w:w="1677"/>
        <w:gridCol w:w="630"/>
        <w:gridCol w:w="5400"/>
        <w:gridCol w:w="450"/>
        <w:gridCol w:w="1980"/>
      </w:tblGrid>
      <w:tr>
        <w:trPr>
          <w:trHeight w:val="190" w:hRule="atLeast"/>
          <w:tblHeader/>
        </w:trPr>
        <w:tc>
          <w:tcPr>
            <w:tcW w:w="16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主眼事項</w:t>
            </w:r>
          </w:p>
        </w:tc>
        <w:tc>
          <w:tcPr>
            <w:tcW w:w="63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23"/>
              <w:widowControl w:val="0"/>
              <w:wordWrap w:val="1"/>
              <w:autoSpaceDE w:val="0"/>
              <w:autoSpaceDN w:val="0"/>
              <w:adjustRightInd w:val="0"/>
              <w:spacing w:line="211" w:lineRule="exact"/>
              <w:jc w:val="center"/>
              <w:rPr>
                <w:rFonts w:hint="eastAsia" w:ascii="ＭＳ ゴシック" w:hAnsi="ＭＳ ゴシック" w:eastAsia="ＭＳ ゴシック"/>
                <w:color w:val="auto"/>
                <w:spacing w:val="2"/>
                <w:sz w:val="18"/>
              </w:rPr>
            </w:pPr>
            <w:r>
              <w:rPr>
                <w:rFonts w:hint="eastAsia" w:ascii="ＭＳ ゴシック" w:hAnsi="ＭＳ ゴシック" w:eastAsia="ＭＳ ゴシック"/>
                <w:color w:val="auto"/>
                <w:spacing w:val="2"/>
                <w:sz w:val="18"/>
              </w:rPr>
              <w:t>ﾁｪｯｸ</w:t>
            </w:r>
          </w:p>
        </w:tc>
        <w:tc>
          <w:tcPr>
            <w:tcW w:w="540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spacing w:val="2"/>
                <w:sz w:val="18"/>
              </w:rPr>
            </w:pPr>
            <w:r>
              <w:rPr>
                <w:rFonts w:hint="eastAsia" w:ascii="ＭＳ ゴシック" w:hAnsi="ＭＳ ゴシック" w:eastAsia="ＭＳ ゴシック"/>
                <w:color w:val="auto"/>
                <w:spacing w:val="2"/>
                <w:sz w:val="18"/>
              </w:rPr>
              <w:t>基準等・通知　等</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ゴシック" w:hAnsi="ＭＳ ゴシック" w:eastAsia="ＭＳ ゴシック"/>
                <w:color w:val="auto"/>
                <w:w w:val="50"/>
                <w:kern w:val="2"/>
                <w:sz w:val="18"/>
              </w:rPr>
            </w:pPr>
            <w:r>
              <w:rPr>
                <w:rFonts w:hint="eastAsia" w:ascii="ＭＳ ゴシック" w:hAnsi="ＭＳ ゴシック" w:eastAsia="ＭＳ ゴシック"/>
                <w:color w:val="auto"/>
                <w:w w:val="50"/>
                <w:kern w:val="2"/>
                <w:sz w:val="18"/>
              </w:rPr>
              <w:t>評価</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1"/>
              <w:autoSpaceDE w:val="0"/>
              <w:autoSpaceDN w:val="0"/>
              <w:adjustRightInd w:val="0"/>
              <w:spacing w:line="211" w:lineRule="exact"/>
              <w:jc w:val="center"/>
              <w:rPr>
                <w:rFonts w:hint="eastAsia" w:ascii="ＭＳ ゴシック" w:hAnsi="ＭＳ ゴシック" w:eastAsia="ＭＳ ゴシック"/>
                <w:color w:val="auto"/>
                <w:spacing w:val="2"/>
                <w:sz w:val="18"/>
              </w:rPr>
            </w:pPr>
            <w:r>
              <w:rPr>
                <w:rFonts w:hint="eastAsia" w:ascii="ＭＳ ゴシック" w:hAnsi="ＭＳ ゴシック" w:eastAsia="ＭＳ ゴシック"/>
                <w:color w:val="auto"/>
                <w:spacing w:val="2"/>
                <w:sz w:val="18"/>
              </w:rPr>
              <w:t>備考</w:t>
            </w:r>
          </w:p>
        </w:tc>
      </w:tr>
      <w:tr>
        <w:trPr>
          <w:trHeight w:val="1327" w:hRule="atLeast"/>
        </w:trPr>
        <w:tc>
          <w:tcPr>
            <w:tcW w:w="16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第１　基本方針</w:t>
            </w:r>
          </w:p>
          <w:p>
            <w:pPr>
              <w:pStyle w:val="0"/>
              <w:widowControl w:val="0"/>
              <w:spacing w:line="208" w:lineRule="exact"/>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w w:val="50"/>
                <w:kern w:val="0"/>
                <w:sz w:val="18"/>
              </w:rPr>
              <w:t>＜法第１１５条の１３第１項＞</w:t>
            </w:r>
          </w:p>
        </w:tc>
        <w:tc>
          <w:tcPr>
            <w:tcW w:w="603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ind w:left="180" w:hanging="180" w:hangingChars="100"/>
              <w:jc w:val="both"/>
              <w:rPr>
                <w:rFonts w:hint="eastAsia" w:ascii="ＭＳ ゴシック" w:hAnsi="ＭＳ ゴシック" w:eastAsia="ＭＳ ゴシック"/>
                <w:color w:val="auto"/>
                <w:spacing w:val="2"/>
                <w:sz w:val="18"/>
              </w:rPr>
            </w:pPr>
            <w:r>
              <w:rPr>
                <w:rFonts w:hint="eastAsia" w:ascii="ＭＳ ゴシック" w:hAnsi="ＭＳ ゴシック" w:eastAsia="ＭＳ ゴシック"/>
                <w:color w:val="auto"/>
                <w:spacing w:val="2"/>
                <w:sz w:val="18"/>
              </w:rPr>
              <w:t>□　</w:t>
            </w:r>
            <w:r>
              <w:rPr>
                <w:rFonts w:hint="eastAsia" w:ascii="Century" w:hAnsi="Century" w:eastAsia="ＭＳ ゴシック"/>
                <w:color w:val="auto"/>
                <w:spacing w:val="2"/>
                <w:sz w:val="18"/>
              </w:rPr>
              <w:t>利用者が可能な限りその居宅において</w:t>
            </w:r>
            <w:r>
              <w:rPr>
                <w:rFonts w:hint="eastAsia" w:ascii="ＭＳ ゴシック" w:hAnsi="ＭＳ ゴシック" w:eastAsia="ＭＳ ゴシック"/>
                <w:color w:val="auto"/>
                <w:spacing w:val="2"/>
                <w:sz w:val="18"/>
              </w:rPr>
              <w:t>、</w:t>
            </w:r>
            <w:r>
              <w:rPr>
                <w:rFonts w:hint="eastAsia" w:ascii="Century" w:hAnsi="Century" w:eastAsia="ＭＳ ゴシック"/>
                <w:color w:val="auto"/>
                <w:spacing w:val="2"/>
                <w:sz w:val="18"/>
              </w:rPr>
              <w:t>又はそのサービス拠点に通わせ</w:t>
            </w:r>
            <w:r>
              <w:rPr>
                <w:rFonts w:hint="eastAsia" w:ascii="ＭＳ ゴシック" w:hAnsi="ＭＳ ゴシック" w:eastAsia="ＭＳ ゴシック"/>
                <w:color w:val="auto"/>
                <w:spacing w:val="2"/>
                <w:sz w:val="18"/>
              </w:rPr>
              <w:t>、</w:t>
            </w:r>
            <w:r>
              <w:rPr>
                <w:rFonts w:hint="eastAsia" w:ascii="Century" w:hAnsi="Century" w:eastAsia="ＭＳ ゴシック"/>
                <w:color w:val="auto"/>
                <w:spacing w:val="2"/>
                <w:sz w:val="18"/>
              </w:rPr>
              <w:t>若しくは短期間宿泊させ</w:t>
            </w:r>
            <w:r>
              <w:rPr>
                <w:rFonts w:hint="eastAsia" w:ascii="ＭＳ ゴシック" w:hAnsi="ＭＳ ゴシック" w:eastAsia="ＭＳ ゴシック"/>
                <w:color w:val="auto"/>
                <w:spacing w:val="2"/>
                <w:sz w:val="18"/>
              </w:rPr>
              <w:t>、</w:t>
            </w:r>
            <w:r>
              <w:rPr>
                <w:rFonts w:hint="eastAsia" w:ascii="Century" w:hAnsi="Century" w:eastAsia="ＭＳ ゴシック"/>
                <w:color w:val="auto"/>
                <w:spacing w:val="2"/>
                <w:sz w:val="18"/>
              </w:rPr>
              <w:t>家庭的な環境と地域住民との交流の下で自立した日常生活を営むことができるよう</w:t>
            </w:r>
            <w:r>
              <w:rPr>
                <w:rFonts w:hint="eastAsia" w:ascii="ＭＳ ゴシック" w:hAnsi="ＭＳ ゴシック" w:eastAsia="ＭＳ ゴシック"/>
                <w:color w:val="auto"/>
                <w:spacing w:val="2"/>
                <w:sz w:val="18"/>
              </w:rPr>
              <w:t>、</w:t>
            </w:r>
            <w:r>
              <w:rPr>
                <w:rFonts w:hint="eastAsia" w:ascii="Century" w:hAnsi="Century" w:eastAsia="ＭＳ ゴシック"/>
                <w:color w:val="auto"/>
                <w:spacing w:val="2"/>
                <w:sz w:val="18"/>
              </w:rPr>
              <w:t>入浴</w:t>
            </w:r>
            <w:r>
              <w:rPr>
                <w:rFonts w:hint="eastAsia" w:ascii="ＭＳ ゴシック" w:hAnsi="ＭＳ ゴシック" w:eastAsia="ＭＳ ゴシック"/>
                <w:color w:val="auto"/>
                <w:spacing w:val="2"/>
                <w:sz w:val="18"/>
              </w:rPr>
              <w:t>、</w:t>
            </w:r>
            <w:r>
              <w:rPr>
                <w:rFonts w:hint="eastAsia" w:ascii="Century" w:hAnsi="Century" w:eastAsia="ＭＳ ゴシック"/>
                <w:color w:val="auto"/>
                <w:spacing w:val="2"/>
                <w:sz w:val="18"/>
              </w:rPr>
              <w:t>排せつ</w:t>
            </w:r>
            <w:r>
              <w:rPr>
                <w:rFonts w:hint="eastAsia" w:ascii="ＭＳ ゴシック" w:hAnsi="ＭＳ ゴシック" w:eastAsia="ＭＳ ゴシック"/>
                <w:color w:val="auto"/>
                <w:spacing w:val="2"/>
                <w:sz w:val="18"/>
              </w:rPr>
              <w:t>、</w:t>
            </w:r>
            <w:r>
              <w:rPr>
                <w:rFonts w:hint="eastAsia" w:ascii="Century" w:hAnsi="Century" w:eastAsia="ＭＳ ゴシック"/>
                <w:color w:val="auto"/>
                <w:spacing w:val="2"/>
                <w:sz w:val="18"/>
              </w:rPr>
              <w:t>食事等の介護その他の日常生活上の支援及び機能訓練を行うことにより</w:t>
            </w:r>
            <w:r>
              <w:rPr>
                <w:rFonts w:hint="eastAsia" w:ascii="ＭＳ ゴシック" w:hAnsi="ＭＳ ゴシック" w:eastAsia="ＭＳ ゴシック"/>
                <w:color w:val="auto"/>
                <w:spacing w:val="2"/>
                <w:sz w:val="18"/>
              </w:rPr>
              <w:t>、</w:t>
            </w:r>
            <w:r>
              <w:rPr>
                <w:rFonts w:hint="eastAsia" w:ascii="Century" w:hAnsi="Century" w:eastAsia="ＭＳ ゴシック"/>
                <w:color w:val="auto"/>
                <w:spacing w:val="2"/>
                <w:sz w:val="18"/>
              </w:rPr>
              <w:t>利用者の心身機能の維持回復を図り</w:t>
            </w:r>
            <w:r>
              <w:rPr>
                <w:rFonts w:hint="eastAsia" w:ascii="ＭＳ ゴシック" w:hAnsi="ＭＳ ゴシック" w:eastAsia="ＭＳ ゴシック"/>
                <w:color w:val="auto"/>
                <w:spacing w:val="2"/>
                <w:sz w:val="18"/>
              </w:rPr>
              <w:t>、</w:t>
            </w:r>
            <w:r>
              <w:rPr>
                <w:rFonts w:hint="eastAsia" w:ascii="Century" w:hAnsi="Century" w:eastAsia="ＭＳ ゴシック"/>
                <w:color w:val="auto"/>
                <w:spacing w:val="2"/>
                <w:sz w:val="18"/>
              </w:rPr>
              <w:t>もって利用者の生活機能の維持又は向上を目指すものとなっているか。　　</w:t>
            </w:r>
            <w:r>
              <w:rPr>
                <w:rFonts w:hint="eastAsia" w:ascii="ＭＳ ゴシック" w:hAnsi="ＭＳ ゴシック" w:eastAsia="ＭＳ ゴシック"/>
                <w:color w:val="auto"/>
                <w:spacing w:val="2"/>
                <w:w w:val="50"/>
                <w:sz w:val="18"/>
              </w:rPr>
              <w:t>◆平１８厚令３６第４３条</w:t>
            </w:r>
          </w:p>
        </w:tc>
        <w:tc>
          <w:tcPr>
            <w:tcW w:w="4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適</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否</w:t>
            </w:r>
          </w:p>
        </w:tc>
        <w:tc>
          <w:tcPr>
            <w:tcW w:w="1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before="121" w:beforeLines="0" w:beforeAutospacing="0" w:line="211" w:lineRule="exact"/>
              <w:jc w:val="both"/>
              <w:rPr>
                <w:rFonts w:hint="eastAsia" w:ascii="ＭＳ ゴシック" w:hAnsi="ＭＳ ゴシック" w:eastAsia="ＭＳ ゴシック"/>
                <w:color w:val="auto"/>
                <w:spacing w:val="0"/>
                <w:sz w:val="18"/>
              </w:rPr>
            </w:pPr>
          </w:p>
        </w:tc>
      </w:tr>
      <w:tr>
        <w:trPr>
          <w:trHeight w:val="301" w:hRule="atLeast"/>
        </w:trPr>
        <w:tc>
          <w:tcPr>
            <w:tcW w:w="167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第１の２</w:t>
            </w:r>
          </w:p>
          <w:p>
            <w:pPr>
              <w:pStyle w:val="0"/>
              <w:widowControl w:val="0"/>
              <w:spacing w:line="208" w:lineRule="exact"/>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　暴力団の排除</w:t>
            </w:r>
          </w:p>
        </w:tc>
        <w:tc>
          <w:tcPr>
            <w:tcW w:w="603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autoSpaceDE w:val="0"/>
              <w:autoSpaceDN w:val="0"/>
              <w:adjustRightInd w:val="0"/>
              <w:ind w:left="180" w:hanging="180" w:hangingChars="100"/>
              <w:jc w:val="both"/>
              <w:rPr>
                <w:rFonts w:hint="eastAsia" w:ascii="ＭＳ ゴシック" w:hAnsi="ＭＳ ゴシック" w:eastAsia="ＭＳ ゴシック"/>
                <w:color w:val="auto"/>
                <w:w w:val="50"/>
                <w:kern w:val="2"/>
                <w:sz w:val="18"/>
              </w:rPr>
            </w:pPr>
            <w:r>
              <w:rPr>
                <w:rFonts w:hint="eastAsia" w:ascii="ＭＳ ゴシック" w:hAnsi="ＭＳ ゴシック" w:eastAsia="ＭＳ ゴシック"/>
                <w:color w:val="auto"/>
                <w:kern w:val="0"/>
              </w:rPr>
              <w:t>□　管理者及び従業者は、南丹市暴力団排除条例第２条第３号に掲げる暴力団員ではないか。</w:t>
            </w:r>
          </w:p>
          <w:p>
            <w:pPr>
              <w:pStyle w:val="0"/>
              <w:widowControl w:val="0"/>
              <w:autoSpaceDE w:val="0"/>
              <w:autoSpaceDN w:val="0"/>
              <w:adjustRightInd w:val="0"/>
              <w:ind w:left="180" w:hanging="180" w:hangingChars="100"/>
              <w:jc w:val="left"/>
              <w:rPr>
                <w:rFonts w:hint="eastAsia" w:ascii="ＭＳ ゴシック" w:hAnsi="ＭＳ ゴシック" w:eastAsia="ＭＳ ゴシック"/>
                <w:color w:val="auto"/>
                <w:w w:val="50"/>
                <w:kern w:val="2"/>
                <w:sz w:val="18"/>
              </w:rPr>
            </w:pPr>
          </w:p>
          <w:p>
            <w:pPr>
              <w:pStyle w:val="0"/>
              <w:widowControl w:val="0"/>
              <w:ind w:left="180" w:hanging="180" w:hangingChars="10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0"/>
              </w:rPr>
              <w:t>□　運営について、南丹市暴力団排除条例第２条第４号に掲げる暴力団員等の支配を受けていないか。</w:t>
            </w:r>
          </w:p>
        </w:tc>
        <w:tc>
          <w:tcPr>
            <w:tcW w:w="4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適</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否</w:t>
            </w:r>
          </w:p>
        </w:tc>
        <w:tc>
          <w:tcPr>
            <w:tcW w:w="19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p>
        </w:tc>
      </w:tr>
      <w:tr>
        <w:trPr/>
        <w:tc>
          <w:tcPr>
            <w:tcW w:w="16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r>
              <w:rPr>
                <w:rFonts w:hint="eastAsia" w:ascii="ＭＳ ゴシック" w:hAnsi="ＭＳ ゴシック" w:eastAsia="ＭＳ ゴシック"/>
                <w:color w:val="auto"/>
                <w:spacing w:val="2"/>
                <w:sz w:val="18"/>
              </w:rPr>
              <w:t>第２</w:t>
            </w:r>
          </w:p>
          <w:p>
            <w:pPr>
              <w:pStyle w:val="23"/>
              <w:widowControl w:val="0"/>
              <w:wordWrap w:val="0"/>
              <w:autoSpaceDE w:val="0"/>
              <w:autoSpaceDN w:val="0"/>
              <w:adjustRightInd w:val="0"/>
              <w:spacing w:line="211" w:lineRule="exact"/>
              <w:ind w:left="184" w:hanging="184" w:hangingChars="10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spacing w:val="2"/>
                <w:sz w:val="18"/>
              </w:rPr>
              <w:t>　人員に関</w:t>
            </w:r>
            <w:r>
              <w:rPr>
                <w:rFonts w:hint="eastAsia" w:ascii="ＭＳ ゴシック" w:hAnsi="ＭＳ ゴシック" w:eastAsia="ＭＳ ゴシック"/>
                <w:color w:val="auto"/>
                <w:kern w:val="2"/>
                <w:sz w:val="18"/>
              </w:rPr>
              <w:t>する基準</w:t>
            </w:r>
          </w:p>
          <w:p>
            <w:pPr>
              <w:pStyle w:val="0"/>
              <w:widowControl w:val="0"/>
              <w:spacing w:line="208" w:lineRule="exact"/>
              <w:jc w:val="center"/>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w w:val="50"/>
                <w:kern w:val="2"/>
                <w:sz w:val="18"/>
              </w:rPr>
              <w:t>&lt;</w:t>
            </w:r>
            <w:r>
              <w:rPr>
                <w:rFonts w:hint="eastAsia" w:ascii="ＭＳ ゴシック" w:hAnsi="ＭＳ ゴシック" w:eastAsia="ＭＳ ゴシック"/>
                <w:color w:val="auto"/>
                <w:w w:val="50"/>
                <w:kern w:val="2"/>
                <w:sz w:val="18"/>
              </w:rPr>
              <w:t>法第１１５条の１４第１項</w:t>
            </w:r>
            <w:r>
              <w:rPr>
                <w:rFonts w:hint="eastAsia" w:ascii="ＭＳ ゴシック" w:hAnsi="ＭＳ ゴシック" w:eastAsia="ＭＳ ゴシック"/>
                <w:color w:val="auto"/>
                <w:w w:val="50"/>
                <w:kern w:val="2"/>
                <w:sz w:val="18"/>
              </w:rPr>
              <w:t>&gt;</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ind w:left="180" w:hanging="180" w:hangingChars="100"/>
              <w:jc w:val="both"/>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pacing w:val="2"/>
                <w:sz w:val="18"/>
              </w:rPr>
              <w:t>※　小規模多機能型居宅介護の主眼事項第２の全てを、介護予防小規模多機能型居宅介護に準用する。　</w:t>
            </w:r>
            <w:r>
              <w:rPr>
                <w:rFonts w:hint="eastAsia" w:ascii="ＭＳ ゴシック" w:hAnsi="ＭＳ ゴシック" w:eastAsia="ＭＳ ゴシック"/>
                <w:color w:val="auto"/>
                <w:spacing w:val="2"/>
                <w:w w:val="50"/>
                <w:sz w:val="18"/>
              </w:rPr>
              <w:t>◆平１８厚令３６第４４条、４５条、４６条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適</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p>
        </w:tc>
      </w:tr>
      <w:tr>
        <w:trPr/>
        <w:tc>
          <w:tcPr>
            <w:tcW w:w="16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r>
              <w:rPr>
                <w:rFonts w:hint="eastAsia" w:ascii="ＭＳ ゴシック" w:hAnsi="ＭＳ ゴシック" w:eastAsia="ＭＳ ゴシック"/>
                <w:color w:val="auto"/>
                <w:spacing w:val="2"/>
                <w:sz w:val="18"/>
              </w:rPr>
              <w:t>第３</w:t>
            </w:r>
          </w:p>
          <w:p>
            <w:pPr>
              <w:pStyle w:val="23"/>
              <w:widowControl w:val="0"/>
              <w:wordWrap w:val="0"/>
              <w:autoSpaceDE w:val="0"/>
              <w:autoSpaceDN w:val="0"/>
              <w:adjustRightInd w:val="0"/>
              <w:spacing w:line="211" w:lineRule="exact"/>
              <w:ind w:left="184" w:hanging="184" w:hangingChars="10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spacing w:val="2"/>
                <w:sz w:val="18"/>
              </w:rPr>
              <w:t>　施設に関</w:t>
            </w:r>
            <w:r>
              <w:rPr>
                <w:rFonts w:hint="eastAsia" w:ascii="ＭＳ ゴシック" w:hAnsi="ＭＳ ゴシック" w:eastAsia="ＭＳ ゴシック"/>
                <w:color w:val="auto"/>
                <w:kern w:val="2"/>
                <w:sz w:val="18"/>
              </w:rPr>
              <w:t>する基準</w:t>
            </w:r>
          </w:p>
          <w:p>
            <w:pPr>
              <w:pStyle w:val="0"/>
              <w:widowControl w:val="0"/>
              <w:spacing w:line="208" w:lineRule="exact"/>
              <w:jc w:val="center"/>
              <w:rPr>
                <w:rFonts w:hint="eastAsia" w:ascii="ＭＳ ゴシック" w:hAnsi="ＭＳ ゴシック" w:eastAsia="ＭＳ ゴシック"/>
                <w:color w:val="auto"/>
                <w:spacing w:val="2"/>
                <w:kern w:val="2"/>
                <w:sz w:val="18"/>
              </w:rPr>
            </w:pPr>
            <w:r>
              <w:rPr>
                <w:rFonts w:hint="eastAsia" w:ascii="ＭＳ ゴシック" w:hAnsi="ＭＳ ゴシック" w:eastAsia="ＭＳ ゴシック"/>
                <w:color w:val="auto"/>
                <w:w w:val="50"/>
                <w:kern w:val="2"/>
                <w:sz w:val="18"/>
              </w:rPr>
              <w:t>&lt;</w:t>
            </w:r>
            <w:r>
              <w:rPr>
                <w:rFonts w:hint="eastAsia" w:ascii="ＭＳ ゴシック" w:hAnsi="ＭＳ ゴシック" w:eastAsia="ＭＳ ゴシック"/>
                <w:color w:val="auto"/>
                <w:w w:val="50"/>
                <w:kern w:val="2"/>
                <w:sz w:val="18"/>
              </w:rPr>
              <w:t>法第１１５条の１４第２項</w:t>
            </w:r>
            <w:r>
              <w:rPr>
                <w:rFonts w:hint="eastAsia" w:ascii="ＭＳ ゴシック" w:hAnsi="ＭＳ ゴシック" w:eastAsia="ＭＳ ゴシック"/>
                <w:color w:val="auto"/>
                <w:w w:val="50"/>
                <w:kern w:val="2"/>
                <w:sz w:val="18"/>
              </w:rPr>
              <w:t>&gt;</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ind w:left="180" w:hanging="180" w:hangingChars="100"/>
              <w:jc w:val="both"/>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pacing w:val="2"/>
                <w:sz w:val="18"/>
              </w:rPr>
              <w:t>※　小規模多機能型居宅介護の主眼事項第３の全てを、介護予防小規模多機能型居宅介護に準用する。　</w:t>
            </w:r>
            <w:r>
              <w:rPr>
                <w:rFonts w:hint="eastAsia" w:ascii="ＭＳ ゴシック" w:hAnsi="ＭＳ ゴシック" w:eastAsia="ＭＳ ゴシック"/>
                <w:color w:val="auto"/>
                <w:spacing w:val="2"/>
                <w:w w:val="50"/>
                <w:sz w:val="18"/>
              </w:rPr>
              <w:t>◆平１８厚令３６第４７条、４８条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適</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p>
        </w:tc>
      </w:tr>
      <w:tr>
        <w:trPr/>
        <w:tc>
          <w:tcPr>
            <w:tcW w:w="16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jc w:val="both"/>
              <w:rPr>
                <w:rFonts w:hint="eastAsia" w:ascii="ＭＳ ゴシック" w:hAnsi="ＭＳ ゴシック" w:eastAsia="ＭＳ ゴシック"/>
                <w:color w:val="auto"/>
                <w:spacing w:val="2"/>
                <w:sz w:val="18"/>
              </w:rPr>
            </w:pPr>
            <w:r>
              <w:rPr>
                <w:rFonts w:hint="eastAsia" w:ascii="ＭＳ ゴシック" w:hAnsi="ＭＳ ゴシック" w:eastAsia="ＭＳ ゴシック"/>
                <w:color w:val="auto"/>
                <w:spacing w:val="2"/>
                <w:sz w:val="18"/>
              </w:rPr>
              <w:t>第４</w:t>
            </w:r>
          </w:p>
          <w:p>
            <w:pPr>
              <w:pStyle w:val="23"/>
              <w:widowControl w:val="0"/>
              <w:wordWrap w:val="0"/>
              <w:autoSpaceDE w:val="0"/>
              <w:autoSpaceDN w:val="0"/>
              <w:adjustRightInd w:val="0"/>
              <w:spacing w:line="211" w:lineRule="exact"/>
              <w:ind w:left="182" w:hanging="182" w:hangingChars="100"/>
              <w:jc w:val="both"/>
              <w:rPr>
                <w:rFonts w:hint="eastAsia" w:ascii="ＭＳ ゴシック" w:hAnsi="ＭＳ ゴシック" w:eastAsia="ＭＳ ゴシック"/>
                <w:color w:val="auto"/>
                <w:spacing w:val="2"/>
                <w:sz w:val="18"/>
              </w:rPr>
            </w:pPr>
            <w:r>
              <w:rPr>
                <w:rFonts w:hint="eastAsia" w:ascii="ＭＳ ゴシック" w:hAnsi="ＭＳ ゴシック" w:eastAsia="ＭＳ ゴシック"/>
                <w:color w:val="auto"/>
                <w:spacing w:val="1"/>
                <w:sz w:val="18"/>
              </w:rPr>
              <w:t>　</w:t>
            </w:r>
            <w:r>
              <w:rPr>
                <w:rFonts w:hint="eastAsia" w:ascii="ＭＳ ゴシック" w:hAnsi="ＭＳ ゴシック" w:eastAsia="ＭＳ ゴシック"/>
                <w:color w:val="auto"/>
                <w:spacing w:val="2"/>
                <w:sz w:val="18"/>
              </w:rPr>
              <w:t>運営に関する基準</w:t>
            </w:r>
          </w:p>
          <w:p>
            <w:pPr>
              <w:pStyle w:val="0"/>
              <w:widowControl w:val="0"/>
              <w:spacing w:line="208" w:lineRule="exact"/>
              <w:jc w:val="center"/>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w w:val="50"/>
                <w:kern w:val="2"/>
                <w:sz w:val="18"/>
              </w:rPr>
              <w:t>&lt;</w:t>
            </w:r>
            <w:r>
              <w:rPr>
                <w:rFonts w:hint="eastAsia" w:ascii="ＭＳ ゴシック" w:hAnsi="ＭＳ ゴシック" w:eastAsia="ＭＳ ゴシック"/>
                <w:color w:val="auto"/>
                <w:w w:val="50"/>
                <w:kern w:val="2"/>
                <w:sz w:val="18"/>
              </w:rPr>
              <w:t>法第１１５条の１４第２項</w:t>
            </w:r>
            <w:r>
              <w:rPr>
                <w:rFonts w:hint="eastAsia" w:ascii="ＭＳ ゴシック" w:hAnsi="ＭＳ ゴシック" w:eastAsia="ＭＳ ゴシック"/>
                <w:color w:val="auto"/>
                <w:w w:val="50"/>
                <w:kern w:val="2"/>
                <w:sz w:val="18"/>
              </w:rPr>
              <w:t>&gt;</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ind w:left="180" w:hanging="180" w:hangingChars="100"/>
              <w:jc w:val="both"/>
              <w:rPr>
                <w:rFonts w:hint="default" w:ascii="ＭＳ ゴシック" w:hAnsi="ＭＳ ゴシック" w:eastAsia="ＭＳ ゴシック"/>
                <w:color w:val="auto"/>
                <w:spacing w:val="0"/>
                <w:sz w:val="18"/>
              </w:rPr>
            </w:pPr>
            <w:r>
              <w:rPr>
                <w:rFonts w:hint="eastAsia" w:ascii="ＭＳ ゴシック" w:hAnsi="ＭＳ ゴシック" w:eastAsia="ＭＳ ゴシック"/>
                <w:color w:val="auto"/>
                <w:spacing w:val="2"/>
                <w:sz w:val="18"/>
              </w:rPr>
              <w:t>※　以下の項目を除く項目で、小規模多機能型居宅介護の主眼事項第４「運営に関する基準」のうち、</w:t>
            </w:r>
            <w:r>
              <w:rPr>
                <w:rFonts w:hint="eastAsia" w:ascii="ＭＳ ゴシック" w:hAnsi="ＭＳ ゴシック" w:eastAsia="ＭＳ ゴシック"/>
                <w:color w:val="auto"/>
                <w:spacing w:val="2"/>
                <w:sz w:val="18"/>
              </w:rPr>
              <w:t>1</w:t>
            </w:r>
            <w:r>
              <w:rPr>
                <w:rFonts w:hint="eastAsia" w:ascii="ＭＳ ゴシック" w:hAnsi="ＭＳ ゴシック" w:eastAsia="ＭＳ ゴシック"/>
                <w:color w:val="auto"/>
                <w:spacing w:val="2"/>
                <w:sz w:val="18"/>
              </w:rPr>
              <w:t>～</w:t>
            </w:r>
            <w:r>
              <w:rPr>
                <w:rFonts w:hint="eastAsia" w:ascii="ＭＳ ゴシック" w:hAnsi="ＭＳ ゴシック" w:eastAsia="ＭＳ ゴシック"/>
                <w:color w:val="auto"/>
                <w:spacing w:val="2"/>
                <w:sz w:val="18"/>
              </w:rPr>
              <w:t>11</w:t>
            </w:r>
            <w:r>
              <w:rPr>
                <w:rFonts w:hint="eastAsia" w:ascii="ＭＳ ゴシック" w:hAnsi="ＭＳ ゴシック" w:eastAsia="ＭＳ ゴシック"/>
                <w:color w:val="auto"/>
                <w:spacing w:val="2"/>
                <w:sz w:val="18"/>
              </w:rPr>
              <w:t>、</w:t>
            </w:r>
            <w:r>
              <w:rPr>
                <w:rFonts w:hint="eastAsia" w:ascii="ＭＳ ゴシック" w:hAnsi="ＭＳ ゴシック" w:eastAsia="ＭＳ ゴシック"/>
                <w:color w:val="auto"/>
                <w:spacing w:val="2"/>
                <w:sz w:val="18"/>
              </w:rPr>
              <w:t>15</w:t>
            </w:r>
            <w:r>
              <w:rPr>
                <w:rFonts w:hint="eastAsia" w:ascii="ＭＳ ゴシック" w:hAnsi="ＭＳ ゴシック" w:eastAsia="ＭＳ ゴシック"/>
                <w:color w:val="auto"/>
                <w:spacing w:val="2"/>
                <w:sz w:val="18"/>
              </w:rPr>
              <w:t>、</w:t>
            </w:r>
            <w:r>
              <w:rPr>
                <w:rFonts w:hint="eastAsia" w:ascii="ＭＳ ゴシック" w:hAnsi="ＭＳ ゴシック" w:eastAsia="ＭＳ ゴシック"/>
                <w:color w:val="auto"/>
                <w:spacing w:val="2"/>
                <w:sz w:val="18"/>
              </w:rPr>
              <w:t>16</w:t>
            </w:r>
            <w:r>
              <w:rPr>
                <w:rFonts w:hint="eastAsia" w:ascii="ＭＳ ゴシック" w:hAnsi="ＭＳ ゴシック" w:eastAsia="ＭＳ ゴシック"/>
                <w:color w:val="auto"/>
                <w:spacing w:val="2"/>
                <w:sz w:val="18"/>
              </w:rPr>
              <w:t>、</w:t>
            </w:r>
            <w:r>
              <w:rPr>
                <w:rFonts w:hint="eastAsia" w:ascii="ＭＳ ゴシック" w:hAnsi="ＭＳ ゴシック" w:eastAsia="ＭＳ ゴシック"/>
                <w:color w:val="auto"/>
                <w:spacing w:val="2"/>
                <w:sz w:val="18"/>
              </w:rPr>
              <w:t>20</w:t>
            </w:r>
            <w:r>
              <w:rPr>
                <w:rFonts w:hint="eastAsia" w:ascii="ＭＳ ゴシック" w:hAnsi="ＭＳ ゴシック" w:eastAsia="ＭＳ ゴシック"/>
                <w:color w:val="auto"/>
                <w:spacing w:val="2"/>
                <w:sz w:val="18"/>
              </w:rPr>
              <w:t>～</w:t>
            </w:r>
            <w:r>
              <w:rPr>
                <w:rFonts w:hint="eastAsia" w:ascii="ＭＳ ゴシック" w:hAnsi="ＭＳ ゴシック" w:eastAsia="ＭＳ ゴシック"/>
                <w:color w:val="auto"/>
                <w:spacing w:val="2"/>
                <w:sz w:val="18"/>
              </w:rPr>
              <w:t>42</w:t>
            </w:r>
            <w:r>
              <w:rPr>
                <w:rFonts w:hint="eastAsia" w:ascii="ＭＳ ゴシック" w:hAnsi="ＭＳ ゴシック" w:eastAsia="ＭＳ ゴシック"/>
                <w:color w:val="auto"/>
                <w:spacing w:val="2"/>
                <w:sz w:val="18"/>
              </w:rPr>
              <w:t>は、介護予防小規模多機能型居宅介護に準用する。</w:t>
            </w:r>
          </w:p>
          <w:p>
            <w:pPr>
              <w:pStyle w:val="23"/>
              <w:widowControl w:val="0"/>
              <w:wordWrap w:val="0"/>
              <w:autoSpaceDE w:val="0"/>
              <w:autoSpaceDN w:val="0"/>
              <w:adjustRightInd w:val="0"/>
              <w:spacing w:line="211" w:lineRule="exact"/>
              <w:ind w:left="180" w:hanging="180" w:hangingChars="100"/>
              <w:jc w:val="both"/>
              <w:rPr>
                <w:rFonts w:hint="eastAsia" w:ascii="ＭＳ ゴシック" w:hAnsi="ＭＳ ゴシック" w:eastAsia="ＭＳ ゴシック"/>
                <w:color w:val="auto"/>
                <w:spacing w:val="2"/>
                <w:sz w:val="18"/>
              </w:rPr>
            </w:pPr>
            <w:r>
              <w:rPr>
                <w:rFonts w:hint="eastAsia" w:ascii="ＭＳ ゴシック" w:hAnsi="ＭＳ ゴシック" w:eastAsia="ＭＳ ゴシック"/>
                <w:color w:val="auto"/>
                <w:spacing w:val="1"/>
                <w:sz w:val="18"/>
              </w:rPr>
              <w:t>　　</w:t>
            </w:r>
            <w:r>
              <w:rPr>
                <w:rFonts w:hint="eastAsia" w:ascii="ＭＳ ゴシック" w:hAnsi="ＭＳ ゴシック" w:eastAsia="ＭＳ ゴシック"/>
                <w:color w:val="auto"/>
                <w:spacing w:val="2"/>
                <w:sz w:val="18"/>
              </w:rPr>
              <w:t>ただし、「指定小規模多機能型居宅介護」は「指定介護予防小規模多機能型居宅介護」と、「居宅サービス事業者」は「介護予防サービス事業者」と、「居宅介護支援」は「介護予防支援」と、「要介護認定」は「要支援認定」と、「要介護者」は「要支援者」と、「居宅サービス計画」は「介護予防サービス計画」と、「地域密着型介護サービス」は「地域密着型介護予防サービス」と読み替える。</w:t>
            </w:r>
          </w:p>
          <w:p>
            <w:pPr>
              <w:pStyle w:val="23"/>
              <w:widowControl w:val="0"/>
              <w:wordWrap w:val="0"/>
              <w:autoSpaceDE w:val="0"/>
              <w:autoSpaceDN w:val="0"/>
              <w:adjustRightInd w:val="0"/>
              <w:spacing w:line="211" w:lineRule="exact"/>
              <w:ind w:left="180" w:hanging="180" w:hangingChars="100"/>
              <w:jc w:val="both"/>
              <w:rPr>
                <w:rFonts w:hint="eastAsia" w:ascii="ＭＳ ゴシック" w:hAnsi="ＭＳ ゴシック" w:eastAsia="ＭＳ ゴシック"/>
                <w:color w:val="auto"/>
                <w:spacing w:val="2"/>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適</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p>
        </w:tc>
      </w:tr>
      <w:tr>
        <w:trPr/>
        <w:tc>
          <w:tcPr>
            <w:tcW w:w="16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ind w:left="184" w:hanging="184" w:hangingChars="10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spacing w:val="2"/>
                <w:sz w:val="18"/>
              </w:rPr>
              <w:t>２　身体的拘束</w:t>
            </w:r>
            <w:r>
              <w:rPr>
                <w:rFonts w:hint="eastAsia" w:ascii="ＭＳ ゴシック" w:hAnsi="ＭＳ ゴシック" w:eastAsia="ＭＳ ゴシック"/>
                <w:color w:val="auto"/>
                <w:kern w:val="2"/>
                <w:sz w:val="18"/>
              </w:rPr>
              <w:t>等の禁止</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ind w:left="184" w:hanging="184" w:hangingChars="100"/>
              <w:jc w:val="both"/>
              <w:rPr>
                <w:rFonts w:hint="default" w:ascii="ＭＳ ゴシック" w:hAnsi="ＭＳ ゴシック" w:eastAsia="ＭＳ ゴシック"/>
                <w:color w:val="auto"/>
                <w:spacing w:val="0"/>
                <w:sz w:val="18"/>
              </w:rPr>
            </w:pPr>
            <w:r>
              <w:rPr>
                <w:rFonts w:hint="eastAsia" w:ascii="ＭＳ ゴシック" w:hAnsi="ＭＳ ゴシック" w:eastAsia="ＭＳ ゴシック"/>
                <w:color w:val="auto"/>
                <w:spacing w:val="2"/>
                <w:sz w:val="18"/>
              </w:rPr>
              <w:t>□　サービスの提供に当たっては、当該利用者又は他の利用者等の生命又は身体を保護するため緊急やむを得ない場合を除き、身体的拘束その他利用者の行動を制限する行為を行っていないか。</w:t>
            </w:r>
          </w:p>
          <w:p>
            <w:pPr>
              <w:pStyle w:val="0"/>
              <w:widowControl w:val="0"/>
              <w:spacing w:line="210" w:lineRule="exact"/>
              <w:jc w:val="both"/>
              <w:rPr>
                <w:rFonts w:hint="default" w:ascii="ＭＳ ゴシック" w:hAnsi="ＭＳ ゴシック" w:eastAsia="ＭＳ ゴシック"/>
                <w:color w:val="auto"/>
                <w:spacing w:val="2"/>
                <w:w w:val="50"/>
                <w:kern w:val="2"/>
                <w:sz w:val="18"/>
              </w:rPr>
            </w:pPr>
            <w:r>
              <w:rPr>
                <w:rFonts w:hint="eastAsia" w:ascii="ＭＳ ゴシック" w:hAnsi="ＭＳ ゴシック" w:eastAsia="ＭＳ ゴシック"/>
                <w:color w:val="auto"/>
                <w:w w:val="100"/>
                <w:kern w:val="2"/>
                <w:sz w:val="18"/>
              </w:rPr>
              <w:t>　　　</w:t>
            </w:r>
            <w:r>
              <w:rPr>
                <w:rFonts w:hint="eastAsia" w:ascii="ＭＳ ゴシック" w:hAnsi="ＭＳ ゴシック" w:eastAsia="ＭＳ ゴシック"/>
                <w:color w:val="auto"/>
                <w:w w:val="50"/>
                <w:kern w:val="2"/>
                <w:sz w:val="18"/>
              </w:rPr>
              <w:t>◆平１８厚令３６第５３条第１項</w:t>
            </w: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ind w:left="184" w:hanging="184" w:hangingChars="10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spacing w:val="2"/>
                <w:sz w:val="18"/>
              </w:rPr>
              <w:t>□　身体的拘束等を行う場合には、その態様及び時間、その際の利用</w:t>
            </w:r>
            <w:r>
              <w:rPr>
                <w:rFonts w:hint="eastAsia" w:ascii="ＭＳ ゴシック" w:hAnsi="ＭＳ ゴシック" w:eastAsia="ＭＳ ゴシック"/>
                <w:color w:val="auto"/>
                <w:kern w:val="2"/>
                <w:sz w:val="18"/>
              </w:rPr>
              <w:t>者の心身の状況並びに緊急やむを得ない理由を記録しているか。</w:t>
            </w:r>
          </w:p>
          <w:p>
            <w:pPr>
              <w:pStyle w:val="0"/>
              <w:widowControl w:val="0"/>
              <w:spacing w:line="210" w:lineRule="exact"/>
              <w:jc w:val="both"/>
              <w:rPr>
                <w:rFonts w:hint="eastAsia" w:ascii="ＭＳ ゴシック" w:hAnsi="ＭＳ ゴシック" w:eastAsia="ＭＳ ゴシック"/>
                <w:color w:val="auto"/>
                <w:spacing w:val="2"/>
                <w:kern w:val="2"/>
                <w:sz w:val="18"/>
              </w:rPr>
            </w:pPr>
            <w:r>
              <w:rPr>
                <w:rFonts w:hint="eastAsia" w:ascii="ＭＳ ゴシック" w:hAnsi="ＭＳ ゴシック" w:eastAsia="ＭＳ ゴシック"/>
                <w:color w:val="auto"/>
                <w:w w:val="100"/>
                <w:kern w:val="2"/>
                <w:sz w:val="18"/>
              </w:rPr>
              <w:t>　　　</w:t>
            </w:r>
            <w:r>
              <w:rPr>
                <w:rFonts w:hint="eastAsia" w:ascii="ＭＳ ゴシック" w:hAnsi="ＭＳ ゴシック" w:eastAsia="ＭＳ ゴシック"/>
                <w:color w:val="auto"/>
                <w:w w:val="50"/>
                <w:kern w:val="2"/>
                <w:sz w:val="18"/>
              </w:rPr>
              <w:t>◆平１８厚令３６第５３条第２項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適</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過去</w:t>
            </w:r>
            <w:r>
              <w:rPr>
                <w:rFonts w:hint="eastAsia" w:ascii="ＭＳ ゴシック" w:hAnsi="ＭＳ ゴシック" w:eastAsia="ＭＳ ゴシック"/>
                <w:color w:val="auto"/>
                <w:kern w:val="2"/>
                <w:sz w:val="18"/>
              </w:rPr>
              <w:t>1</w:t>
            </w:r>
            <w:r>
              <w:rPr>
                <w:rFonts w:hint="eastAsia" w:ascii="ＭＳ ゴシック" w:hAnsi="ＭＳ ゴシック" w:eastAsia="ＭＳ ゴシック"/>
                <w:color w:val="auto"/>
                <w:kern w:val="2"/>
                <w:sz w:val="18"/>
              </w:rPr>
              <w:t>年間に身体拘束を行った件数</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0"/>
                <w:sz w:val="18"/>
                <w:bdr w:val="single" w:color="auto" w:sz="4" w:space="0"/>
              </w:rPr>
              <w:t>　　　</w:t>
            </w:r>
            <w:r>
              <w:rPr>
                <w:rFonts w:hint="eastAsia" w:ascii="ＭＳ ゴシック" w:hAnsi="ＭＳ ゴシック" w:eastAsia="ＭＳ ゴシック"/>
                <w:color w:val="auto"/>
                <w:kern w:val="0"/>
                <w:sz w:val="18"/>
              </w:rPr>
              <w:t>件中</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身体拘束の記録</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0"/>
                <w:sz w:val="18"/>
                <w:bdr w:val="single" w:color="auto" w:sz="4" w:space="0"/>
              </w:rPr>
              <w:t>　　　</w:t>
            </w:r>
            <w:r>
              <w:rPr>
                <w:rFonts w:hint="eastAsia" w:ascii="ＭＳ ゴシック" w:hAnsi="ＭＳ ゴシック" w:eastAsia="ＭＳ ゴシック"/>
                <w:color w:val="auto"/>
                <w:kern w:val="0"/>
                <w:sz w:val="18"/>
              </w:rPr>
              <w:t>件分有</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身体拘束廃止への取組</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【有・無】</w:t>
            </w:r>
          </w:p>
        </w:tc>
      </w:tr>
      <w:tr>
        <w:trPr/>
        <w:tc>
          <w:tcPr>
            <w:tcW w:w="16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r>
              <w:rPr>
                <w:rFonts w:hint="eastAsia" w:ascii="ＭＳ ゴシック" w:hAnsi="ＭＳ ゴシック" w:eastAsia="ＭＳ ゴシック"/>
                <w:color w:val="auto"/>
                <w:spacing w:val="2"/>
                <w:sz w:val="18"/>
              </w:rPr>
              <w:t>第５</w:t>
            </w:r>
          </w:p>
          <w:p>
            <w:pPr>
              <w:pStyle w:val="23"/>
              <w:widowControl w:val="0"/>
              <w:wordWrap w:val="0"/>
              <w:autoSpaceDE w:val="0"/>
              <w:autoSpaceDN w:val="0"/>
              <w:adjustRightInd w:val="0"/>
              <w:spacing w:line="211" w:lineRule="exact"/>
              <w:ind w:left="184" w:hanging="184" w:hangingChars="100"/>
              <w:jc w:val="both"/>
              <w:rPr>
                <w:rFonts w:hint="default" w:ascii="ＭＳ ゴシック" w:hAnsi="ＭＳ ゴシック" w:eastAsia="ＭＳ ゴシック"/>
                <w:color w:val="auto"/>
                <w:spacing w:val="0"/>
                <w:sz w:val="18"/>
              </w:rPr>
            </w:pPr>
            <w:r>
              <w:rPr>
                <w:rFonts w:hint="eastAsia" w:ascii="ＭＳ ゴシック" w:hAnsi="ＭＳ ゴシック" w:eastAsia="ＭＳ ゴシック"/>
                <w:color w:val="auto"/>
                <w:spacing w:val="2"/>
                <w:sz w:val="18"/>
              </w:rPr>
              <w:t>　介護予防のための効果的な支援の方法に関する基準</w:t>
            </w: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ind w:left="184" w:hanging="184" w:hangingChars="100"/>
              <w:jc w:val="both"/>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pacing w:val="2"/>
                <w:sz w:val="18"/>
              </w:rPr>
              <w:t>１　指定介護予防小規模多機能型居宅介護の基本取扱方針</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180" w:hanging="180" w:hangingChars="10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　指定介護予防小規模多機能型居宅介護を、利用者の介護予防に資するよう、その目標を設定し、計画的に行っているか。</w:t>
            </w:r>
          </w:p>
          <w:p>
            <w:pPr>
              <w:pStyle w:val="0"/>
              <w:widowControl w:val="0"/>
              <w:ind w:left="180" w:hanging="180" w:hangingChars="100"/>
              <w:jc w:val="both"/>
              <w:rPr>
                <w:rFonts w:hint="eastAsia" w:ascii="ＭＳ ゴシック" w:hAnsi="ＭＳ ゴシック" w:eastAsia="ＭＳ ゴシック"/>
                <w:color w:val="auto"/>
                <w:w w:val="50"/>
                <w:kern w:val="2"/>
                <w:sz w:val="18"/>
              </w:rPr>
            </w:pPr>
            <w:r>
              <w:rPr>
                <w:rFonts w:hint="eastAsia" w:ascii="ＭＳ ゴシック" w:hAnsi="ＭＳ ゴシック" w:eastAsia="ＭＳ ゴシック"/>
                <w:color w:val="auto"/>
                <w:kern w:val="2"/>
                <w:sz w:val="18"/>
              </w:rPr>
              <w:t>　　　</w:t>
            </w:r>
            <w:r>
              <w:rPr>
                <w:rFonts w:hint="eastAsia" w:ascii="ＭＳ ゴシック" w:hAnsi="ＭＳ ゴシック" w:eastAsia="ＭＳ ゴシック"/>
                <w:color w:val="auto"/>
                <w:w w:val="50"/>
                <w:kern w:val="2"/>
                <w:sz w:val="18"/>
              </w:rPr>
              <w:t>◆平１８厚令３６第６５条第１項</w:t>
            </w:r>
          </w:p>
          <w:p>
            <w:pPr>
              <w:pStyle w:val="0"/>
              <w:widowControl w:val="0"/>
              <w:jc w:val="both"/>
              <w:rPr>
                <w:rFonts w:hint="eastAsia" w:ascii="ＭＳ ゴシック" w:hAnsi="ＭＳ ゴシック" w:eastAsia="ＭＳ ゴシック"/>
                <w:color w:val="auto"/>
                <w:kern w:val="2"/>
                <w:sz w:val="18"/>
              </w:rPr>
            </w:pPr>
          </w:p>
          <w:p>
            <w:pPr>
              <w:pStyle w:val="0"/>
              <w:widowControl w:val="0"/>
              <w:ind w:left="180" w:hanging="180" w:hangingChars="100"/>
              <w:jc w:val="both"/>
              <w:rPr>
                <w:rFonts w:hint="eastAsia" w:ascii="ＭＳ ゴシック" w:hAnsi="ＭＳ ゴシック" w:eastAsia="ＭＳ ゴシック"/>
                <w:color w:val="auto"/>
                <w:w w:val="50"/>
                <w:kern w:val="2"/>
                <w:sz w:val="18"/>
              </w:rPr>
            </w:pPr>
            <w:r>
              <w:rPr>
                <w:rFonts w:hint="eastAsia" w:ascii="ＭＳ ゴシック" w:hAnsi="ＭＳ ゴシック" w:eastAsia="ＭＳ ゴシック"/>
                <w:color w:val="auto"/>
                <w:kern w:val="2"/>
                <w:sz w:val="18"/>
              </w:rPr>
              <w:t>□　自らその提供する指定介護予防小規模多機能型居宅介護の質の評価を行うとともに、定期的に外部の者による評価を受けて、それらの結果を公表し、常にその改善を図っているか。　　</w:t>
            </w:r>
            <w:r>
              <w:rPr>
                <w:rFonts w:hint="eastAsia" w:ascii="ＭＳ ゴシック" w:hAnsi="ＭＳ ゴシック" w:eastAsia="ＭＳ ゴシック"/>
                <w:color w:val="auto"/>
                <w:w w:val="50"/>
                <w:kern w:val="2"/>
                <w:sz w:val="18"/>
              </w:rPr>
              <w:t>◆平１８厚令３６第６５条第２項</w:t>
            </w:r>
          </w:p>
          <w:p>
            <w:pPr>
              <w:pStyle w:val="0"/>
              <w:widowControl w:val="0"/>
              <w:ind w:left="180" w:hanging="180" w:hangingChars="100"/>
              <w:jc w:val="both"/>
              <w:rPr>
                <w:rFonts w:hint="eastAsia" w:ascii="ＭＳ ゴシック" w:hAnsi="ＭＳ ゴシック" w:eastAsia="ＭＳ ゴシック"/>
                <w:color w:val="auto"/>
                <w:kern w:val="2"/>
                <w:sz w:val="18"/>
              </w:rPr>
            </w:pPr>
          </w:p>
          <w:p>
            <w:pPr>
              <w:pStyle w:val="0"/>
              <w:widowControl w:val="0"/>
              <w:ind w:left="180" w:hanging="180" w:hangingChars="10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　利用者ができる限り要介護状態とならないで自立した日常生活を営むことができるよう支援することを目的とするものであることを常に意識してサービスの提供に当たっているか。　　</w:t>
            </w:r>
            <w:r>
              <w:rPr>
                <w:rFonts w:hint="eastAsia" w:ascii="ＭＳ ゴシック" w:hAnsi="ＭＳ ゴシック" w:eastAsia="ＭＳ ゴシック"/>
                <w:color w:val="auto"/>
                <w:w w:val="50"/>
                <w:kern w:val="2"/>
                <w:sz w:val="18"/>
              </w:rPr>
              <w:t>◆平１８厚令３６第６５条第３項</w:t>
            </w:r>
          </w:p>
          <w:p>
            <w:pPr>
              <w:pStyle w:val="23"/>
              <w:widowControl w:val="0"/>
              <w:wordWrap w:val="0"/>
              <w:autoSpaceDE w:val="0"/>
              <w:autoSpaceDN w:val="0"/>
              <w:adjustRightInd w:val="0"/>
              <w:spacing w:line="211" w:lineRule="exact"/>
              <w:jc w:val="both"/>
              <w:rPr>
                <w:rFonts w:hint="eastAsia" w:ascii="ＭＳ ゴシック" w:hAnsi="ＭＳ ゴシック" w:eastAsia="ＭＳ ゴシック"/>
                <w:color w:val="auto"/>
                <w:spacing w:val="2"/>
                <w:w w:val="50"/>
                <w:sz w:val="18"/>
              </w:rPr>
            </w:pPr>
          </w:p>
          <w:p>
            <w:pPr>
              <w:pStyle w:val="0"/>
              <w:widowControl w:val="0"/>
              <w:ind w:left="180" w:hanging="180" w:hangingChars="100"/>
              <w:jc w:val="both"/>
              <w:rPr>
                <w:rFonts w:hint="eastAsia" w:ascii="ＭＳ ゴシック" w:hAnsi="ＭＳ ゴシック" w:eastAsia="ＭＳ ゴシック"/>
                <w:color w:val="auto"/>
                <w:w w:val="50"/>
                <w:kern w:val="2"/>
                <w:sz w:val="18"/>
              </w:rPr>
            </w:pPr>
            <w:r>
              <w:rPr>
                <w:rFonts w:hint="eastAsia" w:ascii="ＭＳ ゴシック" w:hAnsi="ＭＳ ゴシック" w:eastAsia="ＭＳ ゴシック"/>
                <w:color w:val="auto"/>
                <w:kern w:val="2"/>
                <w:sz w:val="18"/>
              </w:rPr>
              <w:t>□　利用者が有する能力を最大限活用することができる方法によるサービス提供に努め、利用者が有する能力を阻害するような不適切なサービス提供を行わないよう配慮しているか。　　</w:t>
            </w:r>
            <w:r>
              <w:rPr>
                <w:rFonts w:hint="eastAsia" w:ascii="ＭＳ ゴシック" w:hAnsi="ＭＳ ゴシック" w:eastAsia="ＭＳ ゴシック"/>
                <w:color w:val="auto"/>
                <w:w w:val="50"/>
                <w:kern w:val="2"/>
                <w:sz w:val="18"/>
              </w:rPr>
              <w:t>◆平１８厚令３６第６５条第４項</w:t>
            </w:r>
          </w:p>
          <w:p>
            <w:pPr>
              <w:pStyle w:val="0"/>
              <w:widowControl w:val="0"/>
              <w:ind w:left="180" w:hanging="180" w:hangingChars="100"/>
              <w:jc w:val="both"/>
              <w:rPr>
                <w:rFonts w:hint="eastAsia" w:ascii="ＭＳ ゴシック" w:hAnsi="ＭＳ ゴシック" w:eastAsia="ＭＳ ゴシック"/>
                <w:color w:val="auto"/>
                <w:w w:val="50"/>
                <w:kern w:val="2"/>
                <w:sz w:val="18"/>
              </w:rPr>
            </w:pPr>
          </w:p>
          <w:p>
            <w:pPr>
              <w:pStyle w:val="0"/>
              <w:widowControl w:val="0"/>
              <w:ind w:left="364" w:hanging="364" w:hangingChars="200"/>
              <w:jc w:val="both"/>
              <w:rPr>
                <w:rFonts w:hint="default" w:ascii="ＭＳ ゴシック" w:hAnsi="ＭＳ ゴシック" w:eastAsia="ＭＳ ゴシック"/>
                <w:color w:val="auto"/>
                <w:spacing w:val="2"/>
                <w:kern w:val="2"/>
                <w:sz w:val="18"/>
              </w:rPr>
            </w:pPr>
            <w:r>
              <w:rPr>
                <w:rFonts w:hint="eastAsia" w:ascii="ＭＳ ゴシック" w:hAnsi="ＭＳ ゴシック" w:eastAsia="ＭＳ ゴシック"/>
                <w:color w:val="auto"/>
                <w:spacing w:val="1"/>
                <w:kern w:val="2"/>
                <w:sz w:val="18"/>
              </w:rPr>
              <w:t>　</w:t>
            </w:r>
            <w:r>
              <w:rPr>
                <w:rFonts w:hint="eastAsia" w:ascii="ＭＳ ゴシック" w:hAnsi="ＭＳ ゴシック" w:eastAsia="ＭＳ ゴシック"/>
                <w:color w:val="auto"/>
                <w:kern w:val="2"/>
                <w:sz w:val="18"/>
              </w:rPr>
              <w:t>◎　「利用者の自立の可能性を最大限引き出す支援を行う」ことを</w:t>
            </w:r>
            <w:r>
              <w:rPr>
                <w:rFonts w:hint="eastAsia" w:ascii="ＭＳ ゴシック" w:hAnsi="ＭＳ ゴシック" w:eastAsia="ＭＳ ゴシック"/>
                <w:color w:val="auto"/>
                <w:spacing w:val="2"/>
                <w:sz w:val="18"/>
              </w:rPr>
              <w:t>基本として、利用者のできる能力を阻害するような不適切なサー</w:t>
            </w:r>
            <w:r>
              <w:rPr>
                <w:rFonts w:hint="eastAsia" w:ascii="ＭＳ ゴシック" w:hAnsi="ＭＳ ゴシック" w:eastAsia="ＭＳ ゴシック"/>
                <w:color w:val="auto"/>
                <w:kern w:val="2"/>
                <w:sz w:val="18"/>
              </w:rPr>
              <w:t>ビス提供をしないよう配慮すること。　</w:t>
            </w:r>
            <w:r>
              <w:rPr>
                <w:rFonts w:hint="eastAsia" w:ascii="ＭＳ ゴシック" w:hAnsi="ＭＳ ゴシック" w:eastAsia="ＭＳ ゴシック"/>
                <w:color w:val="auto"/>
                <w:spacing w:val="-4"/>
                <w:w w:val="50"/>
                <w:kern w:val="2"/>
                <w:sz w:val="18"/>
              </w:rPr>
              <w:t>◆平１８解釈通知第</w:t>
            </w:r>
            <w:r>
              <w:rPr>
                <w:rFonts w:hint="eastAsia" w:ascii="ＭＳ ゴシック" w:hAnsi="ＭＳ ゴシック" w:eastAsia="ＭＳ ゴシック"/>
                <w:color w:val="auto"/>
                <w:spacing w:val="-4"/>
                <w:w w:val="50"/>
                <w:kern w:val="2"/>
                <w:sz w:val="18"/>
              </w:rPr>
              <w:t>4</w:t>
            </w:r>
            <w:r>
              <w:rPr>
                <w:rFonts w:hint="eastAsia" w:ascii="ＭＳ ゴシック" w:hAnsi="ＭＳ ゴシック" w:eastAsia="ＭＳ ゴシック"/>
                <w:color w:val="auto"/>
                <w:spacing w:val="-4"/>
                <w:w w:val="50"/>
                <w:kern w:val="2"/>
                <w:sz w:val="18"/>
              </w:rPr>
              <w:t>の三の２（１）</w:t>
            </w:r>
            <w:r>
              <w:rPr>
                <w:rFonts w:hint="eastAsia" w:ascii="ＭＳ ゴシック" w:hAnsi="ＭＳ ゴシック" w:eastAsia="ＭＳ ゴシック"/>
                <w:color w:val="auto"/>
                <w:w w:val="50"/>
                <w:kern w:val="2"/>
                <w:sz w:val="18"/>
              </w:rPr>
              <w:t>③</w:t>
            </w:r>
          </w:p>
          <w:p>
            <w:pPr>
              <w:pStyle w:val="0"/>
              <w:widowControl w:val="0"/>
              <w:ind w:left="180" w:hanging="180" w:hangingChars="100"/>
              <w:jc w:val="both"/>
              <w:rPr>
                <w:rFonts w:hint="eastAsia" w:ascii="ＭＳ ゴシック" w:hAnsi="ＭＳ ゴシック" w:eastAsia="ＭＳ ゴシック"/>
                <w:color w:val="auto"/>
                <w:kern w:val="2"/>
                <w:sz w:val="18"/>
              </w:rPr>
            </w:pPr>
          </w:p>
          <w:p>
            <w:pPr>
              <w:pStyle w:val="23"/>
              <w:widowControl w:val="0"/>
              <w:wordWrap w:val="0"/>
              <w:autoSpaceDE w:val="0"/>
              <w:autoSpaceDN w:val="0"/>
              <w:adjustRightInd w:val="0"/>
              <w:spacing w:before="121" w:beforeLines="0" w:beforeAutospacing="0" w:line="211" w:lineRule="exact"/>
              <w:ind w:left="180" w:hanging="180" w:hangingChars="100"/>
              <w:jc w:val="both"/>
              <w:rPr>
                <w:rFonts w:hint="eastAsia" w:ascii="ＭＳ ゴシック" w:hAnsi="ＭＳ ゴシック" w:eastAsia="ＭＳ ゴシック"/>
                <w:color w:val="auto"/>
                <w:spacing w:val="2"/>
                <w:w w:val="50"/>
                <w:sz w:val="18"/>
              </w:rPr>
            </w:pPr>
            <w:r>
              <w:rPr>
                <w:rFonts w:hint="eastAsia" w:ascii="ＭＳ ゴシック" w:hAnsi="ＭＳ ゴシック" w:eastAsia="ＭＳ ゴシック"/>
                <w:color w:val="auto"/>
                <w:spacing w:val="2"/>
                <w:sz w:val="18"/>
              </w:rPr>
              <w:t>□　利用者の意欲が高まるようコミュニケーションを十分に図ることをはじめ、様々な方法により、利用者が主体的に事業に参加するよう適切な働きかけに努めているか。　　</w:t>
            </w:r>
            <w:r>
              <w:rPr>
                <w:rFonts w:hint="eastAsia" w:ascii="ＭＳ ゴシック" w:hAnsi="ＭＳ ゴシック" w:eastAsia="ＭＳ ゴシック"/>
                <w:color w:val="auto"/>
                <w:spacing w:val="2"/>
                <w:w w:val="50"/>
                <w:sz w:val="18"/>
              </w:rPr>
              <w:t>◆平１８厚令３６第６５条第５項</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計画に定める目標達成の度合いや利用者及びその家族の満足度等について常に評価を行うなど、サービスの改善を図っているか。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◆平１８解釈通知三の２（１）④</w:t>
            </w:r>
          </w:p>
          <w:p>
            <w:pPr>
              <w:pStyle w:val="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適</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before="121" w:beforeLines="0" w:beforeAutospacing="0" w:line="211" w:lineRule="exact"/>
              <w:jc w:val="both"/>
              <w:rPr>
                <w:rFonts w:hint="default"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p>
          <w:p>
            <w:pPr>
              <w:pStyle w:val="0"/>
              <w:widowControl w:val="0"/>
              <w:jc w:val="both"/>
              <w:rPr>
                <w:rFonts w:hint="eastAsia" w:ascii="ＭＳ ゴシック" w:hAnsi="ＭＳ ゴシック" w:eastAsia="ＭＳ ゴシック"/>
                <w:color w:val="auto"/>
                <w:kern w:val="2"/>
                <w:sz w:val="18"/>
              </w:rPr>
            </w:pPr>
          </w:p>
          <w:p>
            <w:pPr>
              <w:pStyle w:val="0"/>
              <w:widowControl w:val="0"/>
              <w:jc w:val="both"/>
              <w:rPr>
                <w:rFonts w:hint="eastAsia" w:ascii="ＭＳ ゴシック" w:hAnsi="ＭＳ ゴシック" w:eastAsia="ＭＳ ゴシック"/>
                <w:color w:val="auto"/>
                <w:kern w:val="2"/>
                <w:sz w:val="18"/>
              </w:rPr>
            </w:pPr>
          </w:p>
          <w:p>
            <w:pPr>
              <w:pStyle w:val="0"/>
              <w:widowControl w:val="0"/>
              <w:jc w:val="both"/>
              <w:rPr>
                <w:rFonts w:hint="eastAsia" w:ascii="ＭＳ ゴシック" w:hAnsi="ＭＳ ゴシック" w:eastAsia="ＭＳ ゴシック"/>
                <w:color w:val="auto"/>
                <w:kern w:val="2"/>
                <w:sz w:val="18"/>
              </w:rPr>
            </w:pPr>
          </w:p>
          <w:p>
            <w:pPr>
              <w:pStyle w:val="0"/>
              <w:widowControl w:val="0"/>
              <w:jc w:val="both"/>
              <w:rPr>
                <w:rFonts w:hint="eastAsia" w:ascii="ＭＳ ゴシック" w:hAnsi="ＭＳ ゴシック" w:eastAsia="ＭＳ ゴシック"/>
                <w:color w:val="auto"/>
                <w:kern w:val="2"/>
                <w:sz w:val="18"/>
              </w:rPr>
            </w:pPr>
          </w:p>
          <w:p>
            <w:pPr>
              <w:pStyle w:val="0"/>
              <w:widowControl w:val="0"/>
              <w:jc w:val="both"/>
              <w:rPr>
                <w:rFonts w:hint="eastAsia" w:ascii="ＭＳ ゴシック" w:hAnsi="ＭＳ ゴシック" w:eastAsia="ＭＳ ゴシック"/>
                <w:color w:val="auto"/>
                <w:kern w:val="2"/>
                <w:sz w:val="18"/>
              </w:rPr>
            </w:pPr>
          </w:p>
          <w:p>
            <w:pPr>
              <w:pStyle w:val="0"/>
              <w:widowControl w:val="0"/>
              <w:jc w:val="both"/>
              <w:rPr>
                <w:rFonts w:hint="eastAsia" w:ascii="ＭＳ ゴシック" w:hAnsi="ＭＳ ゴシック" w:eastAsia="ＭＳ ゴシック"/>
                <w:color w:val="auto"/>
                <w:kern w:val="2"/>
                <w:sz w:val="18"/>
              </w:rPr>
            </w:pPr>
          </w:p>
          <w:p>
            <w:pPr>
              <w:pStyle w:val="0"/>
              <w:widowControl w:val="0"/>
              <w:jc w:val="both"/>
              <w:rPr>
                <w:rFonts w:hint="eastAsia" w:ascii="ＭＳ ゴシック" w:hAnsi="ＭＳ ゴシック" w:eastAsia="ＭＳ ゴシック"/>
                <w:color w:val="auto"/>
                <w:kern w:val="2"/>
                <w:sz w:val="18"/>
              </w:rPr>
            </w:pPr>
          </w:p>
          <w:p>
            <w:pPr>
              <w:pStyle w:val="0"/>
              <w:widowControl w:val="0"/>
              <w:jc w:val="both"/>
              <w:rPr>
                <w:rFonts w:hint="eastAsia" w:ascii="ＭＳ ゴシック" w:hAnsi="ＭＳ ゴシック" w:eastAsia="ＭＳ ゴシック"/>
                <w:color w:val="auto"/>
                <w:kern w:val="2"/>
                <w:sz w:val="18"/>
              </w:rPr>
            </w:pPr>
          </w:p>
          <w:p>
            <w:pPr>
              <w:pStyle w:val="0"/>
              <w:widowControl w:val="0"/>
              <w:jc w:val="both"/>
              <w:rPr>
                <w:rFonts w:hint="eastAsia" w:ascii="ＭＳ ゴシック" w:hAnsi="ＭＳ ゴシック" w:eastAsia="ＭＳ ゴシック"/>
                <w:color w:val="auto"/>
                <w:kern w:val="2"/>
                <w:sz w:val="18"/>
              </w:rPr>
            </w:pPr>
          </w:p>
        </w:tc>
      </w:tr>
      <w:tr>
        <w:trPr/>
        <w:tc>
          <w:tcPr>
            <w:tcW w:w="16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２　指定介護予防小規模多機能型居宅介護の具体的取扱方針</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□①　主治の医師又は歯科医師からの情報伝達等の適切な方法により、利用者の心身の状況、その置かれている環境等利用者の日常生活全般の状況を、的確に把握しているか。　　</w:t>
            </w:r>
            <w:r>
              <w:rPr>
                <w:rFonts w:hint="eastAsia" w:ascii="ＭＳ ゴシック" w:hAnsi="ＭＳ ゴシック" w:eastAsia="ＭＳ ゴシック"/>
                <w:color w:val="auto"/>
                <w:w w:val="50"/>
              </w:rPr>
              <w:t>◆平１８厚令３６第６６条第１号</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□②　介護支援専門員は、利用者の日常生活全般の状況及び希望を踏まえて、指定介護予防支援等基準第</w:t>
            </w:r>
            <w:r>
              <w:rPr>
                <w:rFonts w:hint="eastAsia" w:ascii="ＭＳ ゴシック" w:hAnsi="ＭＳ ゴシック" w:eastAsia="ＭＳ ゴシック"/>
                <w:color w:val="auto"/>
              </w:rPr>
              <w:t>30</w:t>
            </w:r>
            <w:r>
              <w:rPr>
                <w:rFonts w:hint="eastAsia" w:ascii="ＭＳ ゴシック" w:hAnsi="ＭＳ ゴシック" w:eastAsia="ＭＳ ゴシック"/>
                <w:color w:val="auto"/>
              </w:rPr>
              <w:t>条（具体的取組方針）及び第</w:t>
            </w:r>
            <w:r>
              <w:rPr>
                <w:rFonts w:hint="eastAsia" w:ascii="ＭＳ ゴシック" w:hAnsi="ＭＳ ゴシック" w:eastAsia="ＭＳ ゴシック"/>
                <w:color w:val="auto"/>
              </w:rPr>
              <w:t>31</w:t>
            </w:r>
            <w:r>
              <w:rPr>
                <w:rFonts w:hint="eastAsia" w:ascii="ＭＳ ゴシック" w:hAnsi="ＭＳ ゴシック" w:eastAsia="ＭＳ ゴシック"/>
                <w:color w:val="auto"/>
              </w:rPr>
              <w:t>条（留意点）に沿って、指定介護予防サービス等の利用に係る計画を作成しているか。　　</w:t>
            </w:r>
            <w:r>
              <w:rPr>
                <w:rFonts w:hint="eastAsia" w:ascii="ＭＳ ゴシック" w:hAnsi="ＭＳ ゴシック" w:eastAsia="ＭＳ ゴシック"/>
                <w:color w:val="auto"/>
                <w:w w:val="50"/>
              </w:rPr>
              <w:t>◆平１８厚令３６第６６条第２号</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介護支援専門員は、介護予防サービス計画及び介護予防小規模多機能型居宅介護計画を作成しなければならない。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このため、介護支援専門員は、地域包括支援センター（介護予防支援事業者）の職員が行う業務と同様の業務を行うことになる。</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w:t>
            </w:r>
            <w:r>
              <w:rPr>
                <w:rFonts w:hint="eastAsia" w:ascii="ＭＳ ゴシック" w:hAnsi="ＭＳ ゴシック" w:eastAsia="ＭＳ ゴシック"/>
                <w:color w:val="auto"/>
                <w:w w:val="50"/>
              </w:rPr>
              <w:t>4</w:t>
            </w:r>
            <w:r>
              <w:rPr>
                <w:rFonts w:hint="eastAsia" w:ascii="ＭＳ ゴシック" w:hAnsi="ＭＳ ゴシック" w:eastAsia="ＭＳ ゴシック"/>
                <w:color w:val="auto"/>
                <w:w w:val="50"/>
              </w:rPr>
              <w:t>の三の２（２）①</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□③　介護支援専門員又はサテライト型指定介護予防小規模多機能型居宅介護事業所の研修修了者は、主治医からの情報伝達や他の介護予防小規模多機能型居宅介護従業者との協議（サービス担当者会議）により、利用者の状況を把握・分析し、サービス提供によって解決すべき問題状況を明らかにし（アセスメント）、介護従業者と協議の上、支援の方向性や目標を明確にし、提供するサービスの具体的内容、所要時間、日程等を記載した介護予防小規模多機能型居宅介護計画を作成しているか。</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また、上記計画を基本としつつ、利用者の日々の様態、希望等を勘案し、随時適切に通いサービス、訪問サービス及び宿泊サービスを組み合わせた介護を行っているか。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◆平１８厚令３６第６６条第３号、平１８解釈通知第４の三の２（２）①</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介護計画の様式については、事業所ごとに定めるもので差し支えない。　</w:t>
            </w:r>
            <w:r>
              <w:rPr>
                <w:rFonts w:hint="eastAsia" w:ascii="ＭＳ ゴシック" w:hAnsi="ＭＳ ゴシック" w:eastAsia="ＭＳ ゴシック"/>
                <w:color w:val="auto"/>
                <w:w w:val="50"/>
              </w:rPr>
              <w:t>◆平１８解釈通知三の２（２）①</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□④　介護支援専門員は、介護予防小規模多機能型居宅介護計画の作成に当たっては、地域における活動への参加の機会の提供等により、利用者の多様な活動の確保に努めているか。　　</w:t>
            </w:r>
            <w:r>
              <w:rPr>
                <w:rFonts w:hint="eastAsia" w:ascii="ＭＳ ゴシック" w:hAnsi="ＭＳ ゴシック" w:eastAsia="ＭＳ ゴシック"/>
                <w:color w:val="auto"/>
                <w:w w:val="50"/>
              </w:rPr>
              <w:t>◆平１８厚令３６第６６条第４号</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「多様な活動」とは、地域の特性や利用者の生活環境に応じたレクリェーション、行事、園芸、農作業などの利用者の趣味又は嗜好に応じた活動等をいうものである。　</w:t>
            </w:r>
            <w:r>
              <w:rPr>
                <w:rFonts w:hint="eastAsia" w:ascii="ＭＳ ゴシック" w:hAnsi="ＭＳ ゴシック" w:eastAsia="ＭＳ ゴシック"/>
                <w:color w:val="auto"/>
                <w:w w:val="50"/>
              </w:rPr>
              <w:t>◆平１８解釈通知第</w:t>
            </w:r>
            <w:r>
              <w:rPr>
                <w:rFonts w:hint="eastAsia" w:ascii="ＭＳ ゴシック" w:hAnsi="ＭＳ ゴシック" w:eastAsia="ＭＳ ゴシック"/>
                <w:color w:val="auto"/>
                <w:w w:val="50"/>
              </w:rPr>
              <w:t>4</w:t>
            </w:r>
            <w:r>
              <w:rPr>
                <w:rFonts w:hint="eastAsia" w:ascii="ＭＳ ゴシック" w:hAnsi="ＭＳ ゴシック" w:eastAsia="ＭＳ ゴシック"/>
                <w:color w:val="auto"/>
                <w:w w:val="50"/>
              </w:rPr>
              <w:t>の三の２（２）②</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□⑤　介護予防小規模多機能型居宅介護計画の作成に当たっては、その内容について利用者又はその家族に対して説明し、利用者の同意を得ているか。　　</w:t>
            </w:r>
            <w:r>
              <w:rPr>
                <w:rFonts w:hint="eastAsia" w:ascii="ＭＳ ゴシック" w:hAnsi="ＭＳ ゴシック" w:eastAsia="ＭＳ ゴシック"/>
                <w:color w:val="auto"/>
                <w:w w:val="50"/>
              </w:rPr>
              <w:t>◆平１８厚令３６第６６条第５号</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　実施状況や評価についても説明を行うこと。　</w:t>
            </w:r>
            <w:r>
              <w:rPr>
                <w:rFonts w:hint="eastAsia" w:ascii="ＭＳ ゴシック" w:hAnsi="ＭＳ ゴシック" w:eastAsia="ＭＳ ゴシック"/>
                <w:color w:val="auto"/>
                <w:w w:val="50"/>
              </w:rPr>
              <w:t>◆平１８解釈通知三の２（２）③</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□⑥　介護予防小規模多機能型居宅介護計画を作成した際には、当該計画を利用者に交付しているか。　　</w:t>
            </w:r>
            <w:r>
              <w:rPr>
                <w:rFonts w:hint="eastAsia" w:ascii="ＭＳ ゴシック" w:hAnsi="ＭＳ ゴシック" w:eastAsia="ＭＳ ゴシック"/>
                <w:color w:val="auto"/>
                <w:w w:val="50"/>
              </w:rPr>
              <w:t>◆平１８厚令３６第６６条第６号</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□⑦　利用者の心身の状況、希望及びその置かれている環境を踏まえて、通いサービス、訪問サービス及び宿泊サービスを柔軟に組み合わせているか。　　</w:t>
            </w:r>
            <w:r>
              <w:rPr>
                <w:rFonts w:hint="eastAsia" w:ascii="ＭＳ ゴシック" w:hAnsi="ＭＳ ゴシック" w:eastAsia="ＭＳ ゴシック"/>
                <w:color w:val="auto"/>
                <w:w w:val="50"/>
              </w:rPr>
              <w:t>◆平１８厚令３６第６６条第７号</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□⑧　介護予防小規模多機能型居宅介護の提供に当たっては、利用者一人一人の人格を尊重し、利用者がそれぞれの役割を持って家庭的な環境の下で日常生活を営むのに必要な支援を行っているか。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◆平１８厚令３６第６６条第８号</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□⑨　介護予防小規模多機能型居宅介護計画に基づき、利用者が日常生活を営むのに必要な支援を行っているか。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◆平１８厚令３６第６６条第９号</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□⑩　介護予防小規模多機能型居宅介護の提供に当たっては、懇切丁寧に行うことを旨とし、利用者又はその家族に対し、サービスの提供方法等について、理解しやすいように説明を行っているか。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◆平１８厚令３６第６６条第１０号</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□⑪　通いサービスの利用者が登録定員に比べて著しく少ない状態が続いていないか。　　</w:t>
            </w:r>
            <w:r>
              <w:rPr>
                <w:rFonts w:hint="eastAsia" w:ascii="ＭＳ ゴシック" w:hAnsi="ＭＳ ゴシック" w:eastAsia="ＭＳ ゴシック"/>
                <w:color w:val="auto"/>
                <w:w w:val="50"/>
              </w:rPr>
              <w:t>◆平１８厚令３６第６６条第１１号</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□⑫　登録者が通いサービスを利用していない日においては、可能な限り、訪問サービスの提供、電話連絡による見守り等を行う等登録者の居宅における生活を支えるために適切なサービスを提供しているか。　　</w:t>
            </w:r>
            <w:r>
              <w:rPr>
                <w:rFonts w:hint="eastAsia" w:ascii="ＭＳ ゴシック" w:hAnsi="ＭＳ ゴシック" w:eastAsia="ＭＳ ゴシック"/>
                <w:color w:val="auto"/>
                <w:w w:val="50"/>
              </w:rPr>
              <w:t>◆平１８厚令３６第６６条第１２号</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□⑬　介護計画に基づくサービスの提供開始時から、介護計画に記載したサービス提供終了までに、少なくとも１回は介護計画の実施状況の把握（モニタリング）を行い、利用者の様態の変化等の把握を行っているか。　　</w:t>
            </w:r>
            <w:r>
              <w:rPr>
                <w:rFonts w:hint="eastAsia" w:ascii="ＭＳ ゴシック" w:hAnsi="ＭＳ ゴシック" w:eastAsia="ＭＳ ゴシック"/>
                <w:color w:val="auto"/>
                <w:w w:val="50"/>
              </w:rPr>
              <w:t>◆平１８厚令３６第６６条第１３号</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□⑭　モニタリングの結果を踏まえ、必要に応じて介護計画の変更をしているか。　　</w:t>
            </w:r>
            <w:r>
              <w:rPr>
                <w:rFonts w:hint="eastAsia" w:ascii="ＭＳ ゴシック" w:hAnsi="ＭＳ ゴシック" w:eastAsia="ＭＳ ゴシック"/>
                <w:color w:val="auto"/>
                <w:w w:val="50"/>
              </w:rPr>
              <w:t>◆平１８厚令３６第６６条第１４号</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□⑮　①から⑬までの規定は、⑭に規定する介護予防小規模多機能型居宅介護計画の変更について準用する。　</w:t>
            </w:r>
            <w:r>
              <w:rPr>
                <w:rFonts w:hint="eastAsia" w:ascii="ＭＳ ゴシック" w:hAnsi="ＭＳ ゴシック" w:eastAsia="ＭＳ ゴシック"/>
                <w:color w:val="auto"/>
                <w:w w:val="50"/>
              </w:rPr>
              <w:t>◆平１８厚令３６第６６条第１５号</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短期利用介護予防居宅介護費を算定する場合で、介護予防サービス計画に基づきサービスを提供している事業者については、介護予防支援支援事業所から介護予防小規模多機能型居宅介護計画の求めがあった際には、当該介護予防小規模多機能型居宅介護計画を提供することに協力するよう努め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◆平１８解釈通知第３の四の（９）④準用</w:t>
            </w:r>
          </w:p>
          <w:p>
            <w:pPr>
              <w:pStyle w:val="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適</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利用者</w:t>
            </w:r>
          </w:p>
          <w:p>
            <w:pPr>
              <w:pStyle w:val="0"/>
              <w:widowControl w:val="0"/>
              <w:jc w:val="both"/>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bdr w:val="single" w:color="auto" w:sz="4" w:space="0"/>
              </w:rPr>
              <w:t>　　　</w:t>
            </w:r>
            <w:r>
              <w:rPr>
                <w:rFonts w:hint="eastAsia" w:ascii="ＭＳ ゴシック" w:hAnsi="ＭＳ ゴシック" w:eastAsia="ＭＳ ゴシック"/>
                <w:color w:val="auto"/>
                <w:kern w:val="0"/>
                <w:sz w:val="18"/>
              </w:rPr>
              <w:t>人中</w:t>
            </w:r>
          </w:p>
          <w:p>
            <w:pPr>
              <w:pStyle w:val="0"/>
              <w:widowControl w:val="0"/>
              <w:jc w:val="both"/>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介護予防サービス計画</w:t>
            </w:r>
          </w:p>
          <w:p>
            <w:pPr>
              <w:pStyle w:val="0"/>
              <w:widowControl w:val="0"/>
              <w:jc w:val="both"/>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bdr w:val="single" w:color="auto" w:sz="4" w:space="0"/>
              </w:rPr>
              <w:t>　　　</w:t>
            </w:r>
            <w:r>
              <w:rPr>
                <w:rFonts w:hint="eastAsia" w:ascii="ＭＳ ゴシック" w:hAnsi="ＭＳ ゴシック" w:eastAsia="ＭＳ ゴシック"/>
                <w:color w:val="auto"/>
                <w:kern w:val="0"/>
                <w:sz w:val="18"/>
              </w:rPr>
              <w:t>人分有</w:t>
            </w:r>
          </w:p>
          <w:p>
            <w:pPr>
              <w:pStyle w:val="0"/>
              <w:widowControl w:val="0"/>
              <w:jc w:val="both"/>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介護計画</w:t>
            </w:r>
          </w:p>
          <w:p>
            <w:pPr>
              <w:pStyle w:val="0"/>
              <w:widowControl w:val="0"/>
              <w:jc w:val="both"/>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bdr w:val="single" w:color="auto" w:sz="4" w:space="0"/>
              </w:rPr>
              <w:t>　　　</w:t>
            </w:r>
            <w:r>
              <w:rPr>
                <w:rFonts w:hint="eastAsia" w:ascii="ＭＳ ゴシック" w:hAnsi="ＭＳ ゴシック" w:eastAsia="ＭＳ ゴシック"/>
                <w:color w:val="auto"/>
                <w:kern w:val="0"/>
                <w:sz w:val="18"/>
              </w:rPr>
              <w:t>人分有</w:t>
            </w: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ｱｾｽﾒﾝﾄ記録</w:t>
            </w:r>
          </w:p>
          <w:p>
            <w:pPr>
              <w:pStyle w:val="0"/>
              <w:widowControl w:val="0"/>
              <w:jc w:val="both"/>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【有・無】</w:t>
            </w: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w w:val="90"/>
                <w:kern w:val="0"/>
                <w:sz w:val="20"/>
              </w:rPr>
              <w:t>担当者会議の実施記録</w:t>
            </w:r>
            <w:r>
              <w:rPr>
                <w:rFonts w:hint="eastAsia" w:ascii="ＭＳ ゴシック" w:hAnsi="ＭＳ ゴシック" w:eastAsia="ＭＳ ゴシック"/>
                <w:color w:val="auto"/>
                <w:kern w:val="0"/>
                <w:sz w:val="20"/>
              </w:rPr>
              <w:t>【有・無】</w:t>
            </w:r>
          </w:p>
          <w:p>
            <w:pPr>
              <w:pStyle w:val="0"/>
              <w:widowControl w:val="0"/>
              <w:jc w:val="both"/>
              <w:rPr>
                <w:rFonts w:hint="eastAsia" w:ascii="ＭＳ ゴシック" w:hAnsi="ＭＳ ゴシック" w:eastAsia="ＭＳ ゴシック"/>
                <w:color w:val="auto"/>
                <w:kern w:val="0"/>
                <w:sz w:val="18"/>
              </w:rPr>
            </w:pPr>
          </w:p>
          <w:p>
            <w:pPr>
              <w:pStyle w:val="0"/>
              <w:widowControl w:val="0"/>
              <w:jc w:val="both"/>
              <w:rPr>
                <w:rFonts w:hint="eastAsia" w:ascii="ＭＳ ゴシック" w:hAnsi="ＭＳ ゴシック" w:eastAsia="ＭＳ ゴシック"/>
                <w:color w:val="auto"/>
                <w:kern w:val="0"/>
                <w:sz w:val="18"/>
              </w:rPr>
            </w:pPr>
          </w:p>
          <w:p>
            <w:pPr>
              <w:pStyle w:val="0"/>
              <w:widowControl w:val="0"/>
              <w:jc w:val="both"/>
              <w:rPr>
                <w:rFonts w:hint="eastAsia" w:ascii="ＭＳ ゴシック" w:hAnsi="ＭＳ ゴシック" w:eastAsia="ＭＳ ゴシック"/>
                <w:color w:val="auto"/>
                <w:kern w:val="0"/>
                <w:sz w:val="18"/>
              </w:rPr>
            </w:pPr>
          </w:p>
          <w:p>
            <w:pPr>
              <w:pStyle w:val="0"/>
              <w:widowControl w:val="0"/>
              <w:jc w:val="both"/>
              <w:rPr>
                <w:rFonts w:hint="eastAsia" w:ascii="ＭＳ ゴシック" w:hAnsi="ＭＳ ゴシック" w:eastAsia="ＭＳ ゴシック"/>
                <w:color w:val="auto"/>
                <w:kern w:val="0"/>
                <w:sz w:val="18"/>
              </w:rPr>
            </w:pPr>
          </w:p>
          <w:p>
            <w:pPr>
              <w:pStyle w:val="0"/>
              <w:widowControl w:val="0"/>
              <w:jc w:val="both"/>
              <w:rPr>
                <w:rFonts w:hint="eastAsia" w:ascii="ＭＳ ゴシック" w:hAnsi="ＭＳ ゴシック" w:eastAsia="ＭＳ ゴシック"/>
                <w:color w:val="auto"/>
                <w:kern w:val="0"/>
                <w:sz w:val="18"/>
              </w:rPr>
            </w:pPr>
          </w:p>
          <w:p>
            <w:pPr>
              <w:pStyle w:val="0"/>
              <w:widowControl w:val="0"/>
              <w:jc w:val="both"/>
              <w:rPr>
                <w:rFonts w:hint="eastAsia" w:ascii="ＭＳ ゴシック" w:hAnsi="ＭＳ ゴシック" w:eastAsia="ＭＳ ゴシック"/>
                <w:color w:val="auto"/>
                <w:kern w:val="0"/>
                <w:sz w:val="18"/>
              </w:rPr>
            </w:pPr>
          </w:p>
          <w:p>
            <w:pPr>
              <w:pStyle w:val="0"/>
              <w:widowControl w:val="0"/>
              <w:jc w:val="both"/>
              <w:rPr>
                <w:rFonts w:hint="eastAsia" w:ascii="ＭＳ ゴシック" w:hAnsi="ＭＳ ゴシック" w:eastAsia="ＭＳ ゴシック"/>
                <w:color w:val="auto"/>
                <w:kern w:val="0"/>
                <w:sz w:val="18"/>
              </w:rPr>
            </w:pPr>
          </w:p>
          <w:p>
            <w:pPr>
              <w:pStyle w:val="0"/>
              <w:widowControl w:val="0"/>
              <w:jc w:val="both"/>
              <w:rPr>
                <w:rFonts w:hint="eastAsia" w:ascii="ＭＳ ゴシック" w:hAnsi="ＭＳ ゴシック" w:eastAsia="ＭＳ ゴシック"/>
                <w:color w:val="auto"/>
                <w:kern w:val="0"/>
                <w:sz w:val="18"/>
              </w:rPr>
            </w:pPr>
          </w:p>
          <w:p>
            <w:pPr>
              <w:pStyle w:val="0"/>
              <w:widowControl w:val="0"/>
              <w:jc w:val="both"/>
              <w:rPr>
                <w:rFonts w:hint="eastAsia" w:ascii="ＭＳ ゴシック" w:hAnsi="ＭＳ ゴシック" w:eastAsia="ＭＳ ゴシック"/>
                <w:color w:val="auto"/>
                <w:kern w:val="0"/>
                <w:sz w:val="18"/>
              </w:rPr>
            </w:pPr>
          </w:p>
          <w:p>
            <w:pPr>
              <w:pStyle w:val="0"/>
              <w:widowControl w:val="0"/>
              <w:jc w:val="both"/>
              <w:rPr>
                <w:rFonts w:hint="eastAsia" w:ascii="ＭＳ ゴシック" w:hAnsi="ＭＳ ゴシック" w:eastAsia="ＭＳ ゴシック"/>
                <w:color w:val="auto"/>
                <w:kern w:val="0"/>
                <w:sz w:val="18"/>
              </w:rPr>
            </w:pPr>
          </w:p>
          <w:p>
            <w:pPr>
              <w:pStyle w:val="23"/>
              <w:widowControl w:val="0"/>
              <w:wordWrap w:val="0"/>
              <w:autoSpaceDE w:val="0"/>
              <w:autoSpaceDN w:val="0"/>
              <w:adjustRightInd w:val="0"/>
              <w:spacing w:line="211" w:lineRule="exact"/>
              <w:jc w:val="both"/>
              <w:rPr>
                <w:rFonts w:hint="eastAsia"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jc w:val="both"/>
              <w:rPr>
                <w:rFonts w:hint="eastAsia"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jc w:val="both"/>
              <w:rPr>
                <w:rFonts w:hint="eastAsia"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jc w:val="both"/>
              <w:rPr>
                <w:rFonts w:hint="eastAsia" w:ascii="ＭＳ ゴシック" w:hAnsi="ＭＳ ゴシック" w:eastAsia="ＭＳ ゴシック"/>
                <w:color w:val="auto"/>
                <w:spacing w:val="0"/>
                <w:sz w:val="18"/>
              </w:rPr>
            </w:pPr>
          </w:p>
          <w:p>
            <w:pPr>
              <w:pStyle w:val="0"/>
              <w:widowControl w:val="0"/>
              <w:jc w:val="both"/>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介護計画</w:t>
            </w:r>
          </w:p>
          <w:p>
            <w:pPr>
              <w:pStyle w:val="0"/>
              <w:widowControl w:val="0"/>
              <w:jc w:val="both"/>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bdr w:val="single" w:color="auto" w:sz="4" w:space="0"/>
              </w:rPr>
              <w:t>　　　</w:t>
            </w:r>
            <w:r>
              <w:rPr>
                <w:rFonts w:hint="eastAsia" w:ascii="ＭＳ ゴシック" w:hAnsi="ＭＳ ゴシック" w:eastAsia="ＭＳ ゴシック"/>
                <w:color w:val="auto"/>
                <w:spacing w:val="9"/>
                <w:w w:val="60"/>
                <w:kern w:val="0"/>
                <w:sz w:val="18"/>
                <w:fitText w:val="360" w:id="1"/>
              </w:rPr>
              <w:t>人分</w:t>
            </w:r>
            <w:r>
              <w:rPr>
                <w:rFonts w:hint="eastAsia" w:ascii="ＭＳ ゴシック" w:hAnsi="ＭＳ ゴシック" w:eastAsia="ＭＳ ゴシック"/>
                <w:color w:val="auto"/>
                <w:spacing w:val="1"/>
                <w:w w:val="60"/>
                <w:kern w:val="0"/>
                <w:sz w:val="18"/>
                <w:fitText w:val="360" w:id="1"/>
              </w:rPr>
              <w:t>中</w:t>
            </w:r>
          </w:p>
          <w:p>
            <w:pPr>
              <w:pStyle w:val="0"/>
              <w:widowControl w:val="0"/>
              <w:jc w:val="both"/>
              <w:rPr>
                <w:rFonts w:hint="eastAsia" w:ascii="ＭＳ ゴシック" w:hAnsi="ＭＳ ゴシック" w:eastAsia="ＭＳ ゴシック"/>
                <w:color w:val="auto"/>
                <w:kern w:val="0"/>
                <w:sz w:val="18"/>
              </w:rPr>
            </w:pPr>
          </w:p>
          <w:p>
            <w:pPr>
              <w:pStyle w:val="0"/>
              <w:widowControl w:val="0"/>
              <w:jc w:val="both"/>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pacing w:val="0"/>
                <w:w w:val="65"/>
                <w:kern w:val="0"/>
                <w:sz w:val="18"/>
                <w:fitText w:val="945" w:id="2"/>
              </w:rPr>
              <w:t>説明・同意の署</w:t>
            </w:r>
            <w:r>
              <w:rPr>
                <w:rFonts w:hint="eastAsia" w:ascii="ＭＳ ゴシック" w:hAnsi="ＭＳ ゴシック" w:eastAsia="ＭＳ ゴシック"/>
                <w:color w:val="auto"/>
                <w:spacing w:val="5"/>
                <w:w w:val="65"/>
                <w:kern w:val="0"/>
                <w:sz w:val="18"/>
                <w:fitText w:val="945" w:id="2"/>
              </w:rPr>
              <w:t>名</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0"/>
                <w:sz w:val="18"/>
                <w:bdr w:val="single" w:color="auto" w:sz="4" w:space="0"/>
              </w:rPr>
              <w:t>　　　</w:t>
            </w:r>
            <w:r>
              <w:rPr>
                <w:rFonts w:hint="eastAsia" w:ascii="ＭＳ ゴシック" w:hAnsi="ＭＳ ゴシック" w:eastAsia="ＭＳ ゴシック"/>
                <w:color w:val="auto"/>
                <w:spacing w:val="9"/>
                <w:w w:val="60"/>
                <w:kern w:val="0"/>
                <w:sz w:val="18"/>
                <w:fitText w:val="360" w:id="3"/>
              </w:rPr>
              <w:t>人分</w:t>
            </w:r>
            <w:r>
              <w:rPr>
                <w:rFonts w:hint="eastAsia" w:ascii="ＭＳ ゴシック" w:hAnsi="ＭＳ ゴシック" w:eastAsia="ＭＳ ゴシック"/>
                <w:color w:val="auto"/>
                <w:spacing w:val="1"/>
                <w:w w:val="60"/>
                <w:kern w:val="0"/>
                <w:sz w:val="18"/>
                <w:fitText w:val="360" w:id="3"/>
              </w:rPr>
              <w:t>有</w:t>
            </w:r>
          </w:p>
          <w:p>
            <w:pPr>
              <w:pStyle w:val="0"/>
              <w:widowControl w:val="0"/>
              <w:jc w:val="both"/>
              <w:rPr>
                <w:rFonts w:hint="eastAsia" w:ascii="ＭＳ ゴシック" w:hAnsi="ＭＳ ゴシック" w:eastAsia="ＭＳ ゴシック"/>
                <w:color w:val="auto"/>
                <w:kern w:val="2"/>
                <w:sz w:val="18"/>
              </w:rPr>
            </w:pPr>
          </w:p>
          <w:p>
            <w:pPr>
              <w:pStyle w:val="0"/>
              <w:widowControl w:val="0"/>
              <w:jc w:val="both"/>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pacing w:val="0"/>
                <w:w w:val="65"/>
                <w:kern w:val="0"/>
                <w:sz w:val="18"/>
                <w:fitText w:val="945" w:id="4"/>
              </w:rPr>
              <w:t>交付の署名等記</w:t>
            </w:r>
            <w:r>
              <w:rPr>
                <w:rFonts w:hint="eastAsia" w:ascii="ＭＳ ゴシック" w:hAnsi="ＭＳ ゴシック" w:eastAsia="ＭＳ ゴシック"/>
                <w:color w:val="auto"/>
                <w:spacing w:val="5"/>
                <w:w w:val="65"/>
                <w:kern w:val="0"/>
                <w:sz w:val="18"/>
                <w:fitText w:val="945" w:id="4"/>
              </w:rPr>
              <w:t>録</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0"/>
                <w:sz w:val="18"/>
                <w:bdr w:val="single" w:color="auto" w:sz="4" w:space="0"/>
              </w:rPr>
              <w:t>　　　</w:t>
            </w:r>
            <w:r>
              <w:rPr>
                <w:rFonts w:hint="eastAsia" w:ascii="ＭＳ ゴシック" w:hAnsi="ＭＳ ゴシック" w:eastAsia="ＭＳ ゴシック"/>
                <w:color w:val="auto"/>
                <w:spacing w:val="9"/>
                <w:w w:val="60"/>
                <w:kern w:val="0"/>
                <w:sz w:val="18"/>
                <w:fitText w:val="360" w:id="5"/>
              </w:rPr>
              <w:t>人分</w:t>
            </w:r>
            <w:r>
              <w:rPr>
                <w:rFonts w:hint="eastAsia" w:ascii="ＭＳ ゴシック" w:hAnsi="ＭＳ ゴシック" w:eastAsia="ＭＳ ゴシック"/>
                <w:color w:val="auto"/>
                <w:spacing w:val="1"/>
                <w:w w:val="60"/>
                <w:kern w:val="0"/>
                <w:sz w:val="18"/>
                <w:fitText w:val="360" w:id="5"/>
              </w:rPr>
              <w:t>有</w:t>
            </w:r>
          </w:p>
          <w:p>
            <w:pPr>
              <w:pStyle w:val="0"/>
              <w:widowControl w:val="0"/>
              <w:jc w:val="both"/>
              <w:rPr>
                <w:rFonts w:hint="eastAsia" w:ascii="ＭＳ ゴシック" w:hAnsi="ＭＳ ゴシック" w:eastAsia="ＭＳ ゴシック"/>
                <w:color w:val="auto"/>
                <w:kern w:val="2"/>
                <w:sz w:val="20"/>
                <w:u w:val="double" w:color="auto"/>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p>
          <w:p>
            <w:pPr>
              <w:pStyle w:val="0"/>
              <w:widowControl w:val="0"/>
              <w:jc w:val="both"/>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モニタリング・介護計画の見直し頻度</w:t>
            </w:r>
          </w:p>
          <w:p>
            <w:pPr>
              <w:pStyle w:val="0"/>
              <w:widowControl w:val="0"/>
              <w:jc w:val="both"/>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2"/>
                <w:sz w:val="20"/>
              </w:rPr>
              <w:t>⇒</w:t>
            </w:r>
            <w:r>
              <w:rPr>
                <w:rFonts w:hint="eastAsia" w:ascii="ＭＳ ゴシック" w:hAnsi="ＭＳ ゴシック" w:eastAsia="ＭＳ ゴシック"/>
                <w:color w:val="auto"/>
                <w:w w:val="90"/>
                <w:kern w:val="0"/>
                <w:sz w:val="20"/>
              </w:rPr>
              <w:t>概ね</w:t>
            </w:r>
            <w:r>
              <w:rPr>
                <w:rFonts w:hint="eastAsia" w:ascii="ＭＳ ゴシック" w:hAnsi="ＭＳ ゴシック" w:eastAsia="ＭＳ ゴシック"/>
                <w:color w:val="auto"/>
                <w:w w:val="90"/>
                <w:kern w:val="0"/>
                <w:sz w:val="20"/>
                <w:bdr w:val="single" w:color="auto" w:sz="4" w:space="0"/>
              </w:rPr>
              <w:t>　　</w:t>
            </w:r>
            <w:r>
              <w:rPr>
                <w:rFonts w:hint="eastAsia" w:ascii="ＭＳ ゴシック" w:hAnsi="ＭＳ ゴシック" w:eastAsia="ＭＳ ゴシック"/>
                <w:color w:val="auto"/>
                <w:w w:val="90"/>
                <w:kern w:val="0"/>
                <w:sz w:val="20"/>
              </w:rPr>
              <w:t>箇月ごと</w:t>
            </w:r>
          </w:p>
          <w:p>
            <w:pPr>
              <w:pStyle w:val="23"/>
              <w:widowControl w:val="0"/>
              <w:wordWrap w:val="0"/>
              <w:autoSpaceDE w:val="0"/>
              <w:autoSpaceDN w:val="0"/>
              <w:adjustRightInd w:val="0"/>
              <w:spacing w:line="211" w:lineRule="exact"/>
              <w:jc w:val="both"/>
              <w:rPr>
                <w:rFonts w:hint="eastAsia"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jc w:val="both"/>
              <w:rPr>
                <w:rFonts w:hint="eastAsia"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jc w:val="both"/>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pacing w:val="0"/>
                <w:w w:val="90"/>
                <w:sz w:val="18"/>
              </w:rPr>
              <w:t>モニタリング結果記録</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0"/>
                <w:sz w:val="18"/>
                <w:bdr w:val="single" w:color="auto" w:sz="4" w:space="0"/>
              </w:rPr>
              <w:t>　　　</w:t>
            </w:r>
            <w:r>
              <w:rPr>
                <w:rFonts w:hint="eastAsia" w:ascii="ＭＳ ゴシック" w:hAnsi="ＭＳ ゴシック" w:eastAsia="ＭＳ ゴシック"/>
                <w:color w:val="auto"/>
                <w:kern w:val="0"/>
                <w:sz w:val="18"/>
              </w:rPr>
              <w:t>人分有</w:t>
            </w:r>
          </w:p>
          <w:p>
            <w:pPr>
              <w:pStyle w:val="23"/>
              <w:widowControl w:val="0"/>
              <w:wordWrap w:val="0"/>
              <w:autoSpaceDE w:val="0"/>
              <w:autoSpaceDN w:val="0"/>
              <w:adjustRightInd w:val="0"/>
              <w:spacing w:line="211" w:lineRule="exact"/>
              <w:jc w:val="both"/>
              <w:rPr>
                <w:rFonts w:hint="eastAsia" w:ascii="ＭＳ ゴシック" w:hAnsi="ＭＳ ゴシック" w:eastAsia="ＭＳ ゴシック"/>
                <w:color w:val="auto"/>
                <w:spacing w:val="0"/>
                <w:sz w:val="18"/>
              </w:rPr>
            </w:pPr>
          </w:p>
        </w:tc>
      </w:tr>
      <w:tr>
        <w:trPr/>
        <w:tc>
          <w:tcPr>
            <w:tcW w:w="16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３　介護等</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介護は、利用者の心身の状況に応じ利用者の自立の支援と日常生活の充実に資するよう、適切な技術をもって行っているか。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◆平１８厚令３６第６７条第１項</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指定介護予防小規模多機能型居宅介護事業者は、その利用者に対して、利用者の負担により、利用者の居宅又は当該サービスの拠点における介護従業者以外の者による介護を受けさせていないか。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◆平１８厚令３６第６７条第２項</w:t>
            </w:r>
          </w:p>
          <w:p>
            <w:pPr>
              <w:pStyle w:val="0"/>
              <w:rPr>
                <w:rFonts w:hint="eastAsia" w:ascii="ＭＳ ゴシック" w:hAnsi="ＭＳ ゴシック" w:eastAsia="ＭＳ ゴシック"/>
                <w:color w:val="auto"/>
              </w:rPr>
            </w:pPr>
          </w:p>
          <w:p>
            <w:pPr>
              <w:pStyle w:val="0"/>
              <w:ind w:left="180" w:hanging="180" w:hangingChars="100"/>
              <w:rPr>
                <w:rFonts w:hint="eastAsia"/>
                <w:color w:val="auto"/>
              </w:rPr>
            </w:pPr>
            <w:r>
              <w:rPr>
                <w:rFonts w:hint="eastAsia" w:ascii="ＭＳ ゴシック" w:hAnsi="ＭＳ ゴシック" w:eastAsia="ＭＳ ゴシック"/>
                <w:color w:val="auto"/>
              </w:rPr>
              <w:t>□　食事や清掃、洗濯、買物、園芸、農作業、レクリエーション、行事等は、原則として利用者と介護従業者が共同で行うようにしているか。</w:t>
            </w:r>
          </w:p>
          <w:p>
            <w:pPr>
              <w:pStyle w:val="0"/>
              <w:ind w:left="180" w:hanging="180" w:hangingChars="100"/>
              <w:rPr>
                <w:rFonts w:hint="eastAsia"/>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◆平１８厚令３６第６７条第３項、平１８解釈通知第４の三の２（３）③</w:t>
            </w:r>
          </w:p>
          <w:p>
            <w:pPr>
              <w:pStyle w:val="0"/>
              <w:ind w:left="180" w:hanging="180" w:hangingChars="100"/>
              <w:rPr>
                <w:rFonts w:hint="eastAsia"/>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適</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p>
          <w:p>
            <w:pPr>
              <w:pStyle w:val="0"/>
              <w:widowControl w:val="0"/>
              <w:jc w:val="both"/>
              <w:rPr>
                <w:rFonts w:hint="eastAsia" w:ascii="ＭＳ ゴシック" w:hAnsi="ＭＳ ゴシック" w:eastAsia="ＭＳ ゴシック"/>
                <w:color w:val="auto"/>
                <w:kern w:val="2"/>
                <w:sz w:val="18"/>
              </w:rPr>
            </w:pPr>
          </w:p>
          <w:p>
            <w:pPr>
              <w:pStyle w:val="0"/>
              <w:widowControl w:val="0"/>
              <w:jc w:val="both"/>
              <w:rPr>
                <w:rFonts w:hint="eastAsia" w:ascii="ＭＳ ゴシック" w:hAnsi="ＭＳ ゴシック" w:eastAsia="ＭＳ ゴシック"/>
                <w:color w:val="auto"/>
                <w:kern w:val="2"/>
                <w:sz w:val="18"/>
              </w:rPr>
            </w:pPr>
          </w:p>
          <w:p>
            <w:pPr>
              <w:pStyle w:val="0"/>
              <w:widowControl w:val="0"/>
              <w:jc w:val="both"/>
              <w:rPr>
                <w:rFonts w:hint="eastAsia" w:ascii="ＭＳ ゴシック" w:hAnsi="ＭＳ ゴシック" w:eastAsia="ＭＳ ゴシック"/>
                <w:color w:val="auto"/>
                <w:kern w:val="2"/>
                <w:sz w:val="18"/>
              </w:rPr>
            </w:pPr>
          </w:p>
          <w:p>
            <w:pPr>
              <w:pStyle w:val="0"/>
              <w:widowControl w:val="0"/>
              <w:jc w:val="both"/>
              <w:rPr>
                <w:rFonts w:hint="eastAsia" w:ascii="ＭＳ ゴシック" w:hAnsi="ＭＳ ゴシック" w:eastAsia="ＭＳ ゴシック"/>
                <w:color w:val="auto"/>
                <w:kern w:val="2"/>
                <w:sz w:val="18"/>
              </w:rPr>
            </w:pPr>
          </w:p>
        </w:tc>
      </w:tr>
      <w:tr>
        <w:trPr/>
        <w:tc>
          <w:tcPr>
            <w:tcW w:w="16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180" w:hanging="180" w:hangingChars="10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４　社会生活上の便宜の提供　等</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画一的なサービスを提供するのではなく、利用者の外出の機会の確保その他の利用者の意向を踏まえた社会生活の継続のための支援に努めているか。　　</w:t>
            </w:r>
            <w:r>
              <w:rPr>
                <w:rFonts w:hint="eastAsia" w:ascii="ＭＳ ゴシック" w:hAnsi="ＭＳ ゴシック" w:eastAsia="ＭＳ ゴシック"/>
                <w:color w:val="auto"/>
                <w:w w:val="50"/>
              </w:rPr>
              <w:t>◆平１８厚令３６第６８条第１項、◆平１８解釈通知第</w:t>
            </w:r>
            <w:r>
              <w:rPr>
                <w:rFonts w:hint="eastAsia" w:ascii="ＭＳ ゴシック" w:hAnsi="ＭＳ ゴシック" w:eastAsia="ＭＳ ゴシック"/>
                <w:color w:val="auto"/>
                <w:w w:val="50"/>
              </w:rPr>
              <w:t>4</w:t>
            </w:r>
            <w:r>
              <w:rPr>
                <w:rFonts w:hint="eastAsia" w:ascii="ＭＳ ゴシック" w:hAnsi="ＭＳ ゴシック" w:eastAsia="ＭＳ ゴシック"/>
                <w:color w:val="auto"/>
                <w:w w:val="50"/>
              </w:rPr>
              <w:t>の三の２（４）①</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が日常生活を営む上で必要な郵便、証明書等の交付申請等、行政機関に対する手続等について、利用者又はその家族が行うことが困難である場合は、原則としてその都度、その者の同意を得た上で代行しているか。　　</w:t>
            </w:r>
            <w:r>
              <w:rPr>
                <w:rFonts w:hint="eastAsia" w:ascii="ＭＳ ゴシック" w:hAnsi="ＭＳ ゴシック" w:eastAsia="ＭＳ ゴシック"/>
                <w:color w:val="auto"/>
                <w:w w:val="50"/>
              </w:rPr>
              <w:t>◆平１８厚令３６第６８条第２項、平１８留意事項通知第三２（４）②</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会報の送付、当該事業者が実施する行事への参加の呼びかけ等によって常に利用者の家族との連携を図るとともに、利用者とその家族との交流等の機会を確保するよう努めているか。</w:t>
            </w:r>
          </w:p>
          <w:p>
            <w:pPr>
              <w:pStyle w:val="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◆平１８厚令３６第６８条第３項、平１８留意事項通知第三２（４）③</w:t>
            </w:r>
          </w:p>
          <w:p>
            <w:pPr>
              <w:pStyle w:val="0"/>
              <w:rPr>
                <w:rFonts w:hint="eastAsia" w:ascii="ＭＳ ゴシック" w:hAnsi="ＭＳ ゴシック" w:eastAsia="ＭＳ ゴシック"/>
                <w:color w:val="auto"/>
                <w:w w:val="5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適</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jc w:val="both"/>
              <w:rPr>
                <w:rFonts w:hint="eastAsia"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jc w:val="both"/>
              <w:rPr>
                <w:rFonts w:hint="eastAsia" w:ascii="ＭＳ ゴシック" w:hAnsi="ＭＳ ゴシック" w:eastAsia="ＭＳ ゴシック"/>
                <w:color w:val="auto"/>
                <w:spacing w:val="0"/>
                <w:sz w:val="18"/>
              </w:rPr>
            </w:pP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r>
              <w:rPr>
                <w:rFonts w:hint="eastAsia" w:ascii="ＭＳ ゴシック" w:hAnsi="ＭＳ ゴシック" w:eastAsia="ＭＳ ゴシック"/>
                <w:color w:val="auto"/>
                <w:spacing w:val="0"/>
                <w:sz w:val="18"/>
              </w:rPr>
              <w:t>左記事例【有・無】</w:t>
            </w:r>
          </w:p>
          <w:p>
            <w:pPr>
              <w:pStyle w:val="0"/>
              <w:widowControl w:val="0"/>
              <w:jc w:val="both"/>
              <w:rPr>
                <w:rFonts w:hint="eastAsia" w:ascii="ＭＳ ゴシック" w:hAnsi="ＭＳ ゴシック" w:eastAsia="ＭＳ ゴシック"/>
                <w:color w:val="auto"/>
                <w:kern w:val="2"/>
                <w:sz w:val="18"/>
              </w:rPr>
            </w:pPr>
          </w:p>
        </w:tc>
      </w:tr>
      <w:tr>
        <w:trPr>
          <w:trHeight w:val="583" w:hRule="atLeast"/>
        </w:trPr>
        <w:tc>
          <w:tcPr>
            <w:tcW w:w="16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r>
              <w:rPr>
                <w:rFonts w:hint="eastAsia" w:ascii="ＭＳ ゴシック" w:hAnsi="ＭＳ ゴシック" w:eastAsia="ＭＳ ゴシック"/>
                <w:color w:val="auto"/>
                <w:spacing w:val="2"/>
                <w:sz w:val="18"/>
              </w:rPr>
              <w:t>第６</w:t>
            </w:r>
          </w:p>
          <w:p>
            <w:pPr>
              <w:pStyle w:val="23"/>
              <w:widowControl w:val="0"/>
              <w:wordWrap w:val="0"/>
              <w:autoSpaceDE w:val="0"/>
              <w:autoSpaceDN w:val="0"/>
              <w:adjustRightInd w:val="0"/>
              <w:spacing w:line="211" w:lineRule="exact"/>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spacing w:val="2"/>
                <w:sz w:val="18"/>
              </w:rPr>
              <w:t>　変更の届</w:t>
            </w:r>
            <w:r>
              <w:rPr>
                <w:rFonts w:hint="eastAsia" w:ascii="ＭＳ ゴシック" w:hAnsi="ＭＳ ゴシック" w:eastAsia="ＭＳ ゴシック"/>
                <w:color w:val="auto"/>
                <w:kern w:val="2"/>
                <w:sz w:val="18"/>
              </w:rPr>
              <w:t>出等</w:t>
            </w:r>
          </w:p>
          <w:p>
            <w:pPr>
              <w:pStyle w:val="0"/>
              <w:widowControl w:val="0"/>
              <w:spacing w:line="210" w:lineRule="exact"/>
              <w:jc w:val="both"/>
              <w:rPr>
                <w:rFonts w:hint="eastAsia" w:ascii="ＭＳ ゴシック" w:hAnsi="ＭＳ ゴシック" w:eastAsia="ＭＳ ゴシック"/>
                <w:color w:val="auto"/>
                <w:spacing w:val="2"/>
                <w:kern w:val="2"/>
                <w:sz w:val="18"/>
              </w:rPr>
            </w:pPr>
            <w:r>
              <w:rPr>
                <w:rFonts w:hint="eastAsia" w:ascii="ＭＳ ゴシック" w:hAnsi="ＭＳ ゴシック" w:eastAsia="ＭＳ ゴシック"/>
                <w:color w:val="auto"/>
                <w:kern w:val="2"/>
                <w:sz w:val="18"/>
              </w:rPr>
              <w:t>＜</w:t>
            </w:r>
            <w:r>
              <w:rPr>
                <w:rFonts w:hint="eastAsia" w:ascii="ＭＳ ゴシック" w:hAnsi="ＭＳ ゴシック" w:eastAsia="ＭＳ ゴシック"/>
                <w:color w:val="auto"/>
                <w:w w:val="50"/>
                <w:kern w:val="2"/>
                <w:sz w:val="18"/>
              </w:rPr>
              <w:t>法第１１５条の１５</w:t>
            </w:r>
            <w:r>
              <w:rPr>
                <w:rFonts w:hint="eastAsia" w:ascii="ＭＳ ゴシック" w:hAnsi="ＭＳ ゴシック" w:eastAsia="ＭＳ ゴシック"/>
                <w:color w:val="auto"/>
                <w:kern w:val="2"/>
                <w:sz w:val="18"/>
              </w:rPr>
              <w:t>＞</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事業所の名称及び所在地その他施行規則第</w:t>
            </w:r>
            <w:r>
              <w:rPr>
                <w:rFonts w:hint="eastAsia" w:ascii="ＭＳ ゴシック" w:hAnsi="ＭＳ ゴシック" w:eastAsia="ＭＳ ゴシック"/>
                <w:color w:val="auto"/>
              </w:rPr>
              <w:t>140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30</w:t>
            </w:r>
            <w:r>
              <w:rPr>
                <w:rFonts w:hint="eastAsia" w:ascii="ＭＳ ゴシック" w:hAnsi="ＭＳ ゴシック" w:eastAsia="ＭＳ ゴシック"/>
                <w:color w:val="auto"/>
              </w:rPr>
              <w:t>で定める事項に変更があったとき、又は当該事業を廃止し、休止し、若しくは再開したときは、同条で定めるところにより、</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日以内に、その旨を南丹市長に届け出ているか。</w:t>
            </w:r>
          </w:p>
          <w:p>
            <w:pPr>
              <w:pStyle w:val="23"/>
              <w:spacing w:line="240" w:lineRule="auto"/>
              <w:rPr>
                <w:rFonts w:hint="eastAsia" w:ascii="ＭＳ ゴシック" w:hAnsi="ＭＳ ゴシック" w:eastAsia="ＭＳ ゴシック"/>
                <w:color w:val="auto"/>
                <w:spacing w:val="0"/>
              </w:rPr>
            </w:pPr>
          </w:p>
          <w:p>
            <w:pPr>
              <w:pStyle w:val="0"/>
              <w:ind w:left="180" w:hanging="180" w:hangingChars="100"/>
              <w:jc w:val="both"/>
              <w:rPr>
                <w:rFonts w:hint="eastAsia" w:ascii="ＭＳ ゴシック" w:hAnsi="ＭＳ ゴシック" w:eastAsia="ＭＳ ゴシック"/>
                <w:color w:val="auto"/>
                <w:spacing w:val="2"/>
                <w:sz w:val="18"/>
              </w:rPr>
            </w:pPr>
            <w:r>
              <w:rPr>
                <w:rFonts w:hint="eastAsia" w:ascii="ＭＳ ゴシック" w:hAnsi="ＭＳ ゴシック" w:eastAsia="ＭＳ ゴシック"/>
                <w:color w:val="auto"/>
              </w:rPr>
              <w:t>□　当該事業を廃止し、又は休止しようとするときは、その廃止又は休止の日の１月前までに、その旨を南丹市長に届けているか。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適</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p>
        </w:tc>
      </w:tr>
      <w:tr>
        <w:trPr/>
        <w:tc>
          <w:tcPr>
            <w:tcW w:w="16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r>
              <w:rPr>
                <w:rFonts w:hint="eastAsia" w:ascii="ＭＳ ゴシック" w:hAnsi="ＭＳ ゴシック" w:eastAsia="ＭＳ ゴシック"/>
                <w:color w:val="auto"/>
                <w:spacing w:val="2"/>
                <w:sz w:val="18"/>
              </w:rPr>
              <w:t>第７</w:t>
            </w: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r>
              <w:rPr>
                <w:rFonts w:hint="eastAsia" w:ascii="ＭＳ ゴシック" w:hAnsi="ＭＳ ゴシック" w:eastAsia="ＭＳ ゴシック"/>
                <w:color w:val="auto"/>
                <w:spacing w:val="2"/>
                <w:sz w:val="18"/>
              </w:rPr>
              <w:t>　介護給付費の算定及び取扱い</w:t>
            </w:r>
          </w:p>
          <w:p>
            <w:pPr>
              <w:pStyle w:val="0"/>
              <w:widowControl w:val="0"/>
              <w:spacing w:line="210" w:lineRule="exact"/>
              <w:jc w:val="both"/>
              <w:rPr>
                <w:rFonts w:hint="default" w:ascii="ＭＳ ゴシック" w:hAnsi="ＭＳ ゴシック" w:eastAsia="ＭＳ ゴシック"/>
                <w:color w:val="auto"/>
                <w:spacing w:val="2"/>
                <w:kern w:val="2"/>
                <w:sz w:val="18"/>
              </w:rPr>
            </w:pPr>
            <w:r>
              <w:rPr>
                <w:rFonts w:hint="eastAsia" w:ascii="ＭＳ ゴシック" w:hAnsi="ＭＳ ゴシック" w:eastAsia="ＭＳ ゴシック"/>
                <w:color w:val="auto"/>
                <w:kern w:val="2"/>
                <w:sz w:val="18"/>
              </w:rPr>
              <w:t>＜</w:t>
            </w:r>
            <w:r>
              <w:rPr>
                <w:rFonts w:hint="eastAsia" w:ascii="ＭＳ ゴシック" w:hAnsi="ＭＳ ゴシック" w:eastAsia="ＭＳ ゴシック"/>
                <w:color w:val="auto"/>
                <w:w w:val="50"/>
                <w:kern w:val="2"/>
                <w:sz w:val="18"/>
              </w:rPr>
              <w:t>法第５４条の２第２項</w:t>
            </w:r>
            <w:r>
              <w:rPr>
                <w:rFonts w:hint="eastAsia" w:ascii="ＭＳ ゴシック" w:hAnsi="ＭＳ ゴシック" w:eastAsia="ＭＳ ゴシック"/>
                <w:color w:val="auto"/>
                <w:kern w:val="2"/>
                <w:sz w:val="18"/>
              </w:rPr>
              <w:t>＞</w:t>
            </w:r>
          </w:p>
          <w:p>
            <w:pPr>
              <w:pStyle w:val="23"/>
              <w:widowControl w:val="0"/>
              <w:wordWrap w:val="0"/>
              <w:autoSpaceDE w:val="0"/>
              <w:autoSpaceDN w:val="0"/>
              <w:adjustRightInd w:val="0"/>
              <w:spacing w:line="211" w:lineRule="exact"/>
              <w:jc w:val="both"/>
              <w:rPr>
                <w:rFonts w:hint="default" w:ascii="ＭＳ ゴシック" w:hAnsi="ＭＳ ゴシック" w:eastAsia="ＭＳ ゴシック"/>
                <w:color w:val="auto"/>
                <w:spacing w:val="0"/>
                <w:sz w:val="18"/>
              </w:rPr>
            </w:pP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１　基本的事項</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ind w:left="184" w:hanging="184" w:hangingChars="100"/>
              <w:jc w:val="both"/>
              <w:rPr>
                <w:rFonts w:hint="eastAsia" w:ascii="ＭＳ ゴシック" w:hAnsi="ＭＳ ゴシック" w:eastAsia="ＭＳ ゴシック"/>
                <w:color w:val="auto"/>
                <w:spacing w:val="2"/>
                <w:sz w:val="18"/>
              </w:rPr>
            </w:pPr>
            <w:r>
              <w:rPr>
                <w:rFonts w:hint="eastAsia" w:ascii="ＭＳ ゴシック" w:hAnsi="ＭＳ ゴシック" w:eastAsia="ＭＳ ゴシック"/>
                <w:color w:val="auto"/>
                <w:spacing w:val="2"/>
                <w:sz w:val="18"/>
              </w:rPr>
              <w:t>□　事業に要する費用の額は、平成</w:t>
            </w:r>
            <w:r>
              <w:rPr>
                <w:rFonts w:hint="eastAsia" w:ascii="ＭＳ ゴシック" w:hAnsi="ＭＳ ゴシック" w:eastAsia="ＭＳ ゴシック"/>
                <w:color w:val="auto"/>
                <w:spacing w:val="2"/>
                <w:sz w:val="18"/>
              </w:rPr>
              <w:t>18</w:t>
            </w:r>
            <w:r>
              <w:rPr>
                <w:rFonts w:hint="eastAsia" w:ascii="ＭＳ ゴシック" w:hAnsi="ＭＳ ゴシック" w:eastAsia="ＭＳ ゴシック"/>
                <w:color w:val="auto"/>
                <w:spacing w:val="2"/>
                <w:sz w:val="18"/>
              </w:rPr>
              <w:t>年厚生労働省告示第</w:t>
            </w:r>
            <w:r>
              <w:rPr>
                <w:rFonts w:hint="eastAsia" w:ascii="ＭＳ ゴシック" w:hAnsi="ＭＳ ゴシック" w:eastAsia="ＭＳ ゴシック"/>
                <w:color w:val="auto"/>
                <w:spacing w:val="2"/>
                <w:sz w:val="18"/>
              </w:rPr>
              <w:t>128</w:t>
            </w:r>
            <w:r>
              <w:rPr>
                <w:rFonts w:hint="eastAsia" w:ascii="ＭＳ ゴシック" w:hAnsi="ＭＳ ゴシック" w:eastAsia="ＭＳ ゴシック"/>
                <w:color w:val="auto"/>
                <w:spacing w:val="2"/>
                <w:sz w:val="18"/>
              </w:rPr>
              <w:t>号の別表「指定地域密着型介護予防サービス介護給付費単位数表」により算定されているか。　　</w:t>
            </w:r>
            <w:r>
              <w:rPr>
                <w:rFonts w:hint="eastAsia" w:ascii="ＭＳ ゴシック" w:hAnsi="ＭＳ ゴシック" w:eastAsia="ＭＳ ゴシック"/>
                <w:color w:val="auto"/>
                <w:spacing w:val="2"/>
                <w:w w:val="50"/>
                <w:sz w:val="18"/>
              </w:rPr>
              <w:t>◆平</w:t>
            </w:r>
            <w:r>
              <w:rPr>
                <w:rFonts w:hint="eastAsia" w:ascii="ＭＳ ゴシック" w:hAnsi="ＭＳ ゴシック" w:eastAsia="ＭＳ ゴシック"/>
                <w:color w:val="auto"/>
                <w:spacing w:val="2"/>
                <w:w w:val="50"/>
                <w:sz w:val="18"/>
              </w:rPr>
              <w:t>18</w:t>
            </w:r>
            <w:r>
              <w:rPr>
                <w:rFonts w:hint="eastAsia" w:ascii="ＭＳ ゴシック" w:hAnsi="ＭＳ ゴシック" w:eastAsia="ＭＳ ゴシック"/>
                <w:color w:val="auto"/>
                <w:spacing w:val="2"/>
                <w:w w:val="50"/>
                <w:sz w:val="18"/>
              </w:rPr>
              <w:t>厚告１２８の一</w:t>
            </w:r>
          </w:p>
          <w:p>
            <w:pPr>
              <w:pStyle w:val="23"/>
              <w:widowControl w:val="0"/>
              <w:wordWrap w:val="0"/>
              <w:autoSpaceDE w:val="0"/>
              <w:autoSpaceDN w:val="0"/>
              <w:adjustRightInd w:val="0"/>
              <w:spacing w:line="211" w:lineRule="exact"/>
              <w:ind w:left="180" w:hanging="180" w:hangingChars="100"/>
              <w:jc w:val="both"/>
              <w:rPr>
                <w:rFonts w:hint="eastAsia" w:ascii="ＭＳ ゴシック" w:hAnsi="ＭＳ ゴシック" w:eastAsia="ＭＳ ゴシック"/>
                <w:color w:val="auto"/>
                <w:spacing w:val="2"/>
                <w:sz w:val="18"/>
              </w:rPr>
            </w:pPr>
          </w:p>
          <w:p>
            <w:pPr>
              <w:pStyle w:val="23"/>
              <w:widowControl w:val="0"/>
              <w:wordWrap w:val="0"/>
              <w:autoSpaceDE w:val="0"/>
              <w:autoSpaceDN w:val="0"/>
              <w:adjustRightInd w:val="0"/>
              <w:spacing w:line="211" w:lineRule="exact"/>
              <w:ind w:left="180" w:hanging="180" w:hangingChars="100"/>
              <w:jc w:val="both"/>
              <w:rPr>
                <w:rFonts w:hint="eastAsia" w:ascii="ＭＳ ゴシック" w:hAnsi="ＭＳ ゴシック" w:eastAsia="ＭＳ ゴシック"/>
                <w:color w:val="auto"/>
                <w:spacing w:val="2"/>
                <w:sz w:val="18"/>
              </w:rPr>
            </w:pPr>
            <w:r>
              <w:rPr>
                <w:rFonts w:hint="eastAsia" w:ascii="ＭＳ ゴシック" w:hAnsi="ＭＳ ゴシック" w:eastAsia="ＭＳ ゴシック"/>
                <w:color w:val="auto"/>
                <w:spacing w:val="2"/>
                <w:sz w:val="18"/>
              </w:rPr>
              <w:t>□　登録者（事業所と同一建物に居住する登録者を除く）の要支援状態区分に応じて登録している１月につきそれぞれ所定単位数を算定しているか。　</w:t>
            </w:r>
            <w:r>
              <w:rPr>
                <w:rFonts w:hint="eastAsia" w:ascii="ＭＳ ゴシック" w:hAnsi="ＭＳ ゴシック" w:eastAsia="ＭＳ ゴシック"/>
                <w:color w:val="auto"/>
                <w:spacing w:val="2"/>
                <w:w w:val="50"/>
                <w:sz w:val="18"/>
              </w:rPr>
              <w:t>◆平１８厚告１２</w:t>
            </w:r>
            <w:r>
              <w:rPr>
                <w:rFonts w:hint="eastAsia" w:ascii="ＭＳ ゴシック" w:hAnsi="ＭＳ ゴシック" w:eastAsia="ＭＳ ゴシック"/>
                <w:color w:val="auto"/>
                <w:spacing w:val="2"/>
                <w:w w:val="50"/>
                <w:sz w:val="18"/>
              </w:rPr>
              <w:t>8</w:t>
            </w:r>
            <w:r>
              <w:rPr>
                <w:rFonts w:hint="eastAsia" w:ascii="ＭＳ ゴシック" w:hAnsi="ＭＳ ゴシック" w:eastAsia="ＭＳ ゴシック"/>
                <w:color w:val="auto"/>
                <w:spacing w:val="2"/>
                <w:w w:val="50"/>
                <w:sz w:val="18"/>
              </w:rPr>
              <w:t>の別表２注１</w:t>
            </w:r>
          </w:p>
          <w:p>
            <w:pPr>
              <w:pStyle w:val="23"/>
              <w:widowControl w:val="0"/>
              <w:wordWrap w:val="0"/>
              <w:autoSpaceDE w:val="0"/>
              <w:autoSpaceDN w:val="0"/>
              <w:adjustRightInd w:val="0"/>
              <w:spacing w:line="211" w:lineRule="exact"/>
              <w:ind w:left="180" w:hanging="180" w:hangingChars="100"/>
              <w:jc w:val="both"/>
              <w:rPr>
                <w:rFonts w:hint="eastAsia" w:ascii="ＭＳ ゴシック" w:hAnsi="ＭＳ ゴシック" w:eastAsia="ＭＳ ゴシック"/>
                <w:color w:val="auto"/>
                <w:spacing w:val="2"/>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適</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20"/>
              </w:rPr>
            </w:pPr>
          </w:p>
          <w:p>
            <w:pPr>
              <w:pStyle w:val="0"/>
              <w:widowControl w:val="0"/>
              <w:jc w:val="both"/>
              <w:rPr>
                <w:rFonts w:hint="eastAsia" w:ascii="ＭＳ ゴシック" w:hAnsi="ＭＳ ゴシック" w:eastAsia="ＭＳ ゴシック"/>
                <w:color w:val="auto"/>
                <w:kern w:val="2"/>
                <w:sz w:val="20"/>
              </w:rPr>
            </w:pPr>
          </w:p>
          <w:p>
            <w:pPr>
              <w:pStyle w:val="0"/>
              <w:widowControl w:val="0"/>
              <w:jc w:val="both"/>
              <w:rPr>
                <w:rFonts w:hint="eastAsia" w:ascii="ＭＳ ゴシック" w:hAnsi="ＭＳ ゴシック" w:eastAsia="ＭＳ ゴシック"/>
                <w:color w:val="auto"/>
                <w:kern w:val="2"/>
                <w:sz w:val="18"/>
              </w:rPr>
            </w:pPr>
          </w:p>
        </w:tc>
      </w:tr>
      <w:tr>
        <w:trPr/>
        <w:tc>
          <w:tcPr>
            <w:tcW w:w="16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ind w:left="180" w:hanging="180" w:hangingChars="100"/>
              <w:jc w:val="both"/>
              <w:rPr>
                <w:rFonts w:hint="eastAsia" w:ascii="ＭＳ ゴシック" w:hAnsi="ＭＳ ゴシック" w:eastAsia="ＭＳ ゴシック"/>
                <w:color w:val="auto"/>
                <w:spacing w:val="2"/>
                <w:sz w:val="18"/>
              </w:rPr>
            </w:pPr>
            <w:r>
              <w:rPr>
                <w:rFonts w:hint="eastAsia" w:ascii="ＭＳ ゴシック" w:hAnsi="ＭＳ ゴシック" w:eastAsia="ＭＳ ゴシック"/>
                <w:color w:val="auto"/>
                <w:spacing w:val="2"/>
                <w:sz w:val="18"/>
              </w:rPr>
              <w:t>２　事業所と同一の建物に居住する登録者にサービスを行う場合</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ind w:left="200" w:hanging="200" w:hangingChars="100"/>
              <w:jc w:val="both"/>
              <w:rPr>
                <w:rFonts w:hint="eastAsia" w:ascii="ＭＳ ゴシック" w:hAnsi="ＭＳ ゴシック" w:eastAsia="ＭＳ ゴシック"/>
                <w:color w:val="auto"/>
                <w:spacing w:val="2"/>
                <w:sz w:val="20"/>
              </w:rPr>
            </w:pPr>
            <w:r>
              <w:rPr>
                <w:rFonts w:hint="eastAsia" w:ascii="ＭＳ ゴシック" w:hAnsi="ＭＳ ゴシック" w:eastAsia="ＭＳ ゴシック"/>
                <w:color w:val="auto"/>
                <w:spacing w:val="2"/>
                <w:sz w:val="20"/>
              </w:rPr>
              <w:t>□　事業所と同一建物に居住する登録者について、登録者の要支援状態区分に応じて、登録している期間１月につきそれぞれの所定単位数を算定しているか。</w:t>
            </w:r>
          </w:p>
          <w:p>
            <w:pPr>
              <w:pStyle w:val="23"/>
              <w:widowControl w:val="0"/>
              <w:wordWrap w:val="0"/>
              <w:autoSpaceDE w:val="0"/>
              <w:autoSpaceDN w:val="0"/>
              <w:adjustRightInd w:val="0"/>
              <w:spacing w:line="211" w:lineRule="exact"/>
              <w:ind w:left="200" w:hanging="200" w:hangingChars="100"/>
              <w:jc w:val="both"/>
              <w:rPr>
                <w:rFonts w:hint="eastAsia" w:ascii="ＭＳ ゴシック" w:hAnsi="ＭＳ ゴシック" w:eastAsia="ＭＳ ゴシック"/>
                <w:color w:val="auto"/>
                <w:spacing w:val="2"/>
                <w:sz w:val="20"/>
              </w:rPr>
            </w:pPr>
            <w:r>
              <w:rPr>
                <w:rFonts w:hint="eastAsia" w:ascii="ＭＳ ゴシック" w:hAnsi="ＭＳ ゴシック" w:eastAsia="ＭＳ ゴシック"/>
                <w:color w:val="auto"/>
                <w:spacing w:val="2"/>
                <w:sz w:val="20"/>
              </w:rPr>
              <w:t>　　ただし、登録者の数又は従業者の員数が別に厚生労働大臣が定める基準に該当する場合は、別に厚生労働大臣が定めるところにより算定する。</w:t>
            </w:r>
          </w:p>
          <w:p>
            <w:pPr>
              <w:pStyle w:val="23"/>
              <w:widowControl w:val="0"/>
              <w:wordWrap w:val="0"/>
              <w:autoSpaceDE w:val="0"/>
              <w:autoSpaceDN w:val="0"/>
              <w:adjustRightInd w:val="0"/>
              <w:spacing w:line="211" w:lineRule="exact"/>
              <w:ind w:left="200" w:hanging="200" w:hangingChars="100"/>
              <w:jc w:val="both"/>
              <w:rPr>
                <w:rFonts w:hint="eastAsia" w:ascii="ＭＳ ゴシック" w:hAnsi="ＭＳ ゴシック" w:eastAsia="ＭＳ ゴシック"/>
                <w:color w:val="auto"/>
                <w:spacing w:val="2"/>
                <w:sz w:val="18"/>
              </w:rPr>
            </w:pPr>
            <w:r>
              <w:rPr>
                <w:rFonts w:hint="eastAsia" w:ascii="ＭＳ ゴシック" w:hAnsi="ＭＳ ゴシック" w:eastAsia="ＭＳ ゴシック"/>
                <w:color w:val="auto"/>
                <w:spacing w:val="2"/>
                <w:sz w:val="20"/>
              </w:rPr>
              <w:t>　　</w:t>
            </w:r>
            <w:r>
              <w:rPr>
                <w:rFonts w:hint="eastAsia" w:ascii="ＭＳ ゴシック" w:hAnsi="ＭＳ ゴシック" w:eastAsia="ＭＳ ゴシック"/>
                <w:color w:val="auto"/>
                <w:spacing w:val="2"/>
                <w:w w:val="50"/>
                <w:sz w:val="18"/>
              </w:rPr>
              <w:t>◆平１８厚告１２</w:t>
            </w:r>
            <w:r>
              <w:rPr>
                <w:rFonts w:hint="eastAsia" w:ascii="ＭＳ ゴシック" w:hAnsi="ＭＳ ゴシック" w:eastAsia="ＭＳ ゴシック"/>
                <w:color w:val="auto"/>
                <w:spacing w:val="2"/>
                <w:w w:val="50"/>
                <w:sz w:val="18"/>
              </w:rPr>
              <w:t>8</w:t>
            </w:r>
            <w:r>
              <w:rPr>
                <w:rFonts w:hint="eastAsia" w:ascii="ＭＳ ゴシック" w:hAnsi="ＭＳ ゴシック" w:eastAsia="ＭＳ ゴシック"/>
                <w:color w:val="auto"/>
                <w:spacing w:val="2"/>
                <w:w w:val="50"/>
                <w:sz w:val="18"/>
              </w:rPr>
              <w:t>の別表２イ（２）注２</w:t>
            </w:r>
          </w:p>
          <w:p>
            <w:pPr>
              <w:pStyle w:val="23"/>
              <w:widowControl w:val="0"/>
              <w:wordWrap w:val="0"/>
              <w:autoSpaceDE w:val="0"/>
              <w:autoSpaceDN w:val="0"/>
              <w:adjustRightInd w:val="0"/>
              <w:spacing w:line="211" w:lineRule="exact"/>
              <w:ind w:left="200" w:hanging="200" w:hangingChars="100"/>
              <w:jc w:val="both"/>
              <w:rPr>
                <w:rFonts w:hint="eastAsia" w:ascii="ＭＳ ゴシック" w:hAnsi="ＭＳ ゴシック" w:eastAsia="ＭＳ ゴシック"/>
                <w:color w:val="auto"/>
                <w:spacing w:val="2"/>
                <w:sz w:val="18"/>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適</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20"/>
              </w:rPr>
            </w:pPr>
            <w:r>
              <w:rPr>
                <w:rFonts w:hint="eastAsia" w:ascii="ＭＳ ゴシック" w:hAnsi="ＭＳ ゴシック" w:eastAsia="ＭＳ ゴシック"/>
                <w:color w:val="auto"/>
                <w:kern w:val="2"/>
                <w:sz w:val="20"/>
              </w:rPr>
              <w:t>【同一建物に居住する登録者の有・無】</w:t>
            </w:r>
          </w:p>
          <w:p>
            <w:pPr>
              <w:pStyle w:val="0"/>
              <w:widowControl w:val="0"/>
              <w:jc w:val="both"/>
              <w:rPr>
                <w:rFonts w:hint="eastAsia" w:ascii="ＭＳ ゴシック" w:hAnsi="ＭＳ ゴシック" w:eastAsia="ＭＳ ゴシック"/>
                <w:color w:val="auto"/>
                <w:kern w:val="2"/>
                <w:sz w:val="20"/>
              </w:rPr>
            </w:pPr>
          </w:p>
          <w:p>
            <w:pPr>
              <w:pStyle w:val="0"/>
              <w:widowControl w:val="0"/>
              <w:jc w:val="both"/>
              <w:rPr>
                <w:rFonts w:hint="eastAsia" w:ascii="ＭＳ ゴシック" w:hAnsi="ＭＳ ゴシック" w:eastAsia="ＭＳ ゴシック"/>
                <w:color w:val="auto"/>
                <w:kern w:val="2"/>
                <w:sz w:val="18"/>
              </w:rPr>
            </w:pPr>
          </w:p>
        </w:tc>
      </w:tr>
      <w:tr>
        <w:trPr>
          <w:trHeight w:val="35" w:hRule="atLeast"/>
        </w:trPr>
        <w:tc>
          <w:tcPr>
            <w:tcW w:w="16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ind w:left="184" w:hanging="184" w:hangingChars="100"/>
              <w:jc w:val="both"/>
              <w:rPr>
                <w:rFonts w:hint="eastAsia" w:ascii="ＭＳ ゴシック" w:hAnsi="ＭＳ ゴシック" w:eastAsia="ＭＳ ゴシック"/>
                <w:color w:val="auto"/>
                <w:spacing w:val="2"/>
                <w:sz w:val="18"/>
              </w:rPr>
            </w:pPr>
            <w:r>
              <w:rPr>
                <w:rFonts w:hint="eastAsia" w:ascii="ＭＳ ゴシック" w:hAnsi="ＭＳ ゴシック" w:eastAsia="ＭＳ ゴシック"/>
                <w:color w:val="auto"/>
                <w:spacing w:val="2"/>
                <w:sz w:val="18"/>
              </w:rPr>
              <w:t>３　短期利用予防居宅介護費を算定してい</w:t>
            </w:r>
            <w:bookmarkStart w:id="0" w:name="_GoBack"/>
            <w:bookmarkEnd w:id="0"/>
            <w:r>
              <w:rPr>
                <w:rFonts w:hint="eastAsia" w:ascii="ＭＳ ゴシック" w:hAnsi="ＭＳ ゴシック" w:eastAsia="ＭＳ ゴシック"/>
                <w:color w:val="auto"/>
                <w:spacing w:val="2"/>
                <w:sz w:val="18"/>
              </w:rPr>
              <w:t>る場合</w:t>
            </w:r>
          </w:p>
        </w:tc>
        <w:tc>
          <w:tcPr>
            <w:tcW w:w="6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idowControl w:val="0"/>
              <w:wordWrap w:val="0"/>
              <w:autoSpaceDE w:val="0"/>
              <w:autoSpaceDN w:val="0"/>
              <w:adjustRightInd w:val="0"/>
              <w:spacing w:line="211" w:lineRule="exact"/>
              <w:ind w:left="200" w:hanging="200" w:hangingChars="100"/>
              <w:jc w:val="both"/>
              <w:rPr>
                <w:rFonts w:hint="eastAsia" w:ascii="ＭＳ ゴシック" w:hAnsi="ＭＳ ゴシック" w:eastAsia="ＭＳ ゴシック"/>
                <w:color w:val="auto"/>
                <w:spacing w:val="2"/>
                <w:sz w:val="20"/>
              </w:rPr>
            </w:pPr>
            <w:r>
              <w:rPr>
                <w:rFonts w:hint="eastAsia" w:ascii="ＭＳ ゴシック" w:hAnsi="ＭＳ ゴシック" w:eastAsia="ＭＳ ゴシック"/>
                <w:color w:val="auto"/>
                <w:spacing w:val="2"/>
                <w:sz w:val="20"/>
              </w:rPr>
              <w:t>□　別に厚生労働大臣が定める基準に適合するものとして南丹市に届け出た事業所において、短期利用予防居宅介護費を算定している登録者について、介護予防小規模多機能型居宅介護を行った場合に、登録者の要支援状態区分に応じて、それぞれの所定単位数を算定しているか。　</w:t>
            </w:r>
            <w:r>
              <w:rPr>
                <w:rFonts w:hint="eastAsia" w:ascii="ＭＳ ゴシック" w:hAnsi="ＭＳ ゴシック" w:eastAsia="ＭＳ ゴシック"/>
                <w:color w:val="auto"/>
                <w:spacing w:val="2"/>
                <w:w w:val="50"/>
                <w:sz w:val="18"/>
              </w:rPr>
              <w:t>◆平１８厚告１２８別表２ロ注３</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適</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w:t>
            </w:r>
          </w:p>
          <w:p>
            <w:pPr>
              <w:pStyle w:val="0"/>
              <w:widowControl w:val="0"/>
              <w:jc w:val="both"/>
              <w:rPr>
                <w:rFonts w:hint="eastAsia" w:ascii="ＭＳ ゴシック" w:hAnsi="ＭＳ ゴシック" w:eastAsia="ＭＳ ゴシック"/>
                <w:color w:val="auto"/>
                <w:kern w:val="2"/>
                <w:sz w:val="18"/>
              </w:rPr>
            </w:pPr>
            <w:r>
              <w:rPr>
                <w:rFonts w:hint="eastAsia" w:ascii="ＭＳ ゴシック" w:hAnsi="ＭＳ ゴシック" w:eastAsia="ＭＳ ゴシック"/>
                <w:color w:val="auto"/>
                <w:kern w:val="2"/>
                <w:sz w:val="18"/>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color w:val="auto"/>
                <w:kern w:val="2"/>
                <w:sz w:val="20"/>
              </w:rPr>
            </w:pPr>
            <w:r>
              <w:rPr>
                <w:rFonts w:hint="eastAsia" w:ascii="ＭＳ ゴシック" w:hAnsi="ＭＳ ゴシック" w:eastAsia="ＭＳ ゴシック"/>
                <w:color w:val="auto"/>
                <w:kern w:val="2"/>
                <w:sz w:val="20"/>
              </w:rPr>
              <w:t>【短期利用予防居宅介護費を算定している登録者の有・無】</w:t>
            </w:r>
          </w:p>
          <w:p>
            <w:pPr>
              <w:pStyle w:val="0"/>
              <w:widowControl w:val="0"/>
              <w:jc w:val="both"/>
              <w:rPr>
                <w:rFonts w:hint="eastAsia" w:ascii="ＭＳ ゴシック" w:hAnsi="ＭＳ ゴシック" w:eastAsia="ＭＳ ゴシック"/>
                <w:color w:val="auto"/>
                <w:kern w:val="2"/>
                <w:sz w:val="18"/>
              </w:rPr>
            </w:pPr>
          </w:p>
        </w:tc>
      </w:tr>
    </w:tbl>
    <w:p>
      <w:pPr>
        <w:pStyle w:val="0"/>
        <w:tabs>
          <w:tab w:val="left" w:leader="none" w:pos="6860"/>
        </w:tabs>
        <w:rPr>
          <w:rFonts w:hint="eastAsia" w:ascii="ＭＳ ゴシック" w:hAnsi="ＭＳ ゴシック" w:eastAsia="ＭＳ ゴシック"/>
        </w:rPr>
      </w:pPr>
    </w:p>
    <w:p>
      <w:pPr>
        <w:pStyle w:val="0"/>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※「厚令」とは、「指定地域密着型サービスの事業の人員、設備及び運営に関する基準」（平成</w:t>
      </w:r>
      <w:r>
        <w:rPr>
          <w:rFonts w:hint="eastAsia" w:ascii="ＭＳ ゴシック" w:hAnsi="ＭＳ ゴシック" w:eastAsia="ＭＳ ゴシック"/>
        </w:rPr>
        <w:t>18</w:t>
      </w:r>
      <w:r>
        <w:rPr>
          <w:rFonts w:hint="eastAsia" w:ascii="ＭＳ ゴシック" w:hAnsi="ＭＳ ゴシック" w:eastAsia="ＭＳ ゴシック"/>
        </w:rPr>
        <w:t>年</w:t>
      </w:r>
      <w:r>
        <w:rPr>
          <w:rFonts w:hint="eastAsia" w:ascii="ＭＳ ゴシック" w:hAnsi="ＭＳ ゴシック" w:eastAsia="ＭＳ ゴシック"/>
        </w:rPr>
        <w:t>3</w:t>
      </w:r>
      <w:r>
        <w:rPr>
          <w:rFonts w:hint="eastAsia" w:ascii="ＭＳ ゴシック" w:hAnsi="ＭＳ ゴシック" w:eastAsia="ＭＳ ゴシック"/>
        </w:rPr>
        <w:t>月</w:t>
      </w:r>
      <w:r>
        <w:rPr>
          <w:rFonts w:hint="eastAsia" w:ascii="ＭＳ ゴシック" w:hAnsi="ＭＳ ゴシック" w:eastAsia="ＭＳ ゴシック"/>
        </w:rPr>
        <w:t>14</w:t>
      </w:r>
      <w:r>
        <w:rPr>
          <w:rFonts w:hint="eastAsia" w:ascii="ＭＳ ゴシック" w:hAnsi="ＭＳ ゴシック" w:eastAsia="ＭＳ ゴシック"/>
        </w:rPr>
        <w:t>日　厚生労働省令第</w:t>
      </w:r>
      <w:r>
        <w:rPr>
          <w:rFonts w:hint="eastAsia" w:ascii="ＭＳ ゴシック" w:hAnsi="ＭＳ ゴシック" w:eastAsia="ＭＳ ゴシック"/>
        </w:rPr>
        <w:t>34</w:t>
      </w:r>
      <w:r>
        <w:rPr>
          <w:rFonts w:hint="eastAsia" w:ascii="ＭＳ ゴシック" w:hAnsi="ＭＳ ゴシック" w:eastAsia="ＭＳ ゴシック"/>
        </w:rPr>
        <w:t>号）を指します。</w:t>
      </w:r>
    </w:p>
    <w:p>
      <w:pPr>
        <w:pStyle w:val="0"/>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※「解釈通知」とは「指定地域密着型サービス及び指定地域密着型介護予防サービスに関する基準について」（平成</w:t>
      </w:r>
      <w:r>
        <w:rPr>
          <w:rFonts w:hint="eastAsia" w:ascii="ＭＳ ゴシック" w:hAnsi="ＭＳ ゴシック" w:eastAsia="ＭＳ ゴシック"/>
        </w:rPr>
        <w:t>18</w:t>
      </w:r>
      <w:r>
        <w:rPr>
          <w:rFonts w:hint="eastAsia" w:ascii="ＭＳ ゴシック" w:hAnsi="ＭＳ ゴシック" w:eastAsia="ＭＳ ゴシック"/>
        </w:rPr>
        <w:t>年</w:t>
      </w:r>
      <w:r>
        <w:rPr>
          <w:rFonts w:hint="eastAsia" w:ascii="ＭＳ ゴシック" w:hAnsi="ＭＳ ゴシック" w:eastAsia="ＭＳ ゴシック"/>
        </w:rPr>
        <w:t>3</w:t>
      </w:r>
      <w:r>
        <w:rPr>
          <w:rFonts w:hint="eastAsia" w:ascii="ＭＳ ゴシック" w:hAnsi="ＭＳ ゴシック" w:eastAsia="ＭＳ ゴシック"/>
        </w:rPr>
        <w:t>月</w:t>
      </w:r>
      <w:r>
        <w:rPr>
          <w:rFonts w:hint="eastAsia" w:ascii="ＭＳ ゴシック" w:hAnsi="ＭＳ ゴシック" w:eastAsia="ＭＳ ゴシック"/>
        </w:rPr>
        <w:t>31</w:t>
      </w:r>
      <w:r>
        <w:rPr>
          <w:rFonts w:hint="eastAsia" w:ascii="ＭＳ ゴシック" w:hAnsi="ＭＳ ゴシック" w:eastAsia="ＭＳ ゴシック"/>
        </w:rPr>
        <w:t>日　老計発第</w:t>
      </w:r>
      <w:r>
        <w:rPr>
          <w:rFonts w:hint="eastAsia" w:ascii="ＭＳ ゴシック" w:hAnsi="ＭＳ ゴシック" w:eastAsia="ＭＳ ゴシック"/>
        </w:rPr>
        <w:t>0331004</w:t>
      </w:r>
      <w:r>
        <w:rPr>
          <w:rFonts w:hint="eastAsia" w:ascii="ＭＳ ゴシック" w:hAnsi="ＭＳ ゴシック" w:eastAsia="ＭＳ ゴシック"/>
        </w:rPr>
        <w:t>号、老振発第</w:t>
      </w:r>
      <w:r>
        <w:rPr>
          <w:rFonts w:hint="eastAsia" w:ascii="ＭＳ ゴシック" w:hAnsi="ＭＳ ゴシック" w:eastAsia="ＭＳ ゴシック"/>
        </w:rPr>
        <w:t>0331004</w:t>
      </w:r>
      <w:r>
        <w:rPr>
          <w:rFonts w:hint="eastAsia" w:ascii="ＭＳ ゴシック" w:hAnsi="ＭＳ ゴシック" w:eastAsia="ＭＳ ゴシック"/>
        </w:rPr>
        <w:t>号、老老発第</w:t>
      </w:r>
      <w:r>
        <w:rPr>
          <w:rFonts w:hint="eastAsia" w:ascii="ＭＳ ゴシック" w:hAnsi="ＭＳ ゴシック" w:eastAsia="ＭＳ ゴシック"/>
        </w:rPr>
        <w:t>0331017</w:t>
      </w:r>
      <w:r>
        <w:rPr>
          <w:rFonts w:hint="eastAsia" w:ascii="ＭＳ ゴシック" w:hAnsi="ＭＳ ゴシック" w:eastAsia="ＭＳ ゴシック"/>
        </w:rPr>
        <w:t>号）を指します。</w:t>
      </w:r>
    </w:p>
    <w:p>
      <w:pPr>
        <w:pStyle w:val="0"/>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※「市条例」とは、「南丹市指定地域密着型サービスの事業の人員、設備及び運営に関する基準を定める条例」（平成</w:t>
      </w:r>
      <w:r>
        <w:rPr>
          <w:rFonts w:hint="eastAsia" w:ascii="ＭＳ ゴシック" w:hAnsi="ＭＳ ゴシック" w:eastAsia="ＭＳ ゴシック"/>
        </w:rPr>
        <w:t>24</w:t>
      </w:r>
      <w:r>
        <w:rPr>
          <w:rFonts w:hint="eastAsia" w:ascii="ＭＳ ゴシック" w:hAnsi="ＭＳ ゴシック" w:eastAsia="ＭＳ ゴシック"/>
        </w:rPr>
        <w:t>年</w:t>
      </w:r>
      <w:r>
        <w:rPr>
          <w:rFonts w:hint="eastAsia" w:ascii="ＭＳ ゴシック" w:hAnsi="ＭＳ ゴシック" w:eastAsia="ＭＳ ゴシック"/>
        </w:rPr>
        <w:t>12</w:t>
      </w:r>
      <w:r>
        <w:rPr>
          <w:rFonts w:hint="eastAsia" w:ascii="ＭＳ ゴシック" w:hAnsi="ＭＳ ゴシック" w:eastAsia="ＭＳ ゴシック"/>
        </w:rPr>
        <w:t>月</w:t>
      </w:r>
      <w:r>
        <w:rPr>
          <w:rFonts w:hint="eastAsia" w:ascii="ＭＳ ゴシック" w:hAnsi="ＭＳ ゴシック" w:eastAsia="ＭＳ ゴシック"/>
        </w:rPr>
        <w:t>25</w:t>
      </w:r>
      <w:r>
        <w:rPr>
          <w:rFonts w:hint="eastAsia" w:ascii="ＭＳ ゴシック" w:hAnsi="ＭＳ ゴシック" w:eastAsia="ＭＳ ゴシック"/>
        </w:rPr>
        <w:t>日　南丹市条例第</w:t>
      </w:r>
      <w:r>
        <w:rPr>
          <w:rFonts w:hint="eastAsia" w:ascii="ＭＳ ゴシック" w:hAnsi="ＭＳ ゴシック" w:eastAsia="ＭＳ ゴシック"/>
        </w:rPr>
        <w:t>22</w:t>
      </w:r>
      <w:r>
        <w:rPr>
          <w:rFonts w:hint="eastAsia" w:ascii="ＭＳ ゴシック" w:hAnsi="ＭＳ ゴシック" w:eastAsia="ＭＳ ゴシック"/>
        </w:rPr>
        <w:t>号）を指します。</w:t>
      </w:r>
    </w:p>
    <w:p>
      <w:pPr>
        <w:pStyle w:val="0"/>
        <w:ind w:left="360" w:hanging="360" w:hangingChars="200"/>
        <w:rPr>
          <w:rStyle w:val="24"/>
          <w:rFonts w:hint="eastAsia" w:ascii="ＭＳ ゴシック" w:hAnsi="ＭＳ ゴシック" w:eastAsia="ＭＳ ゴシック"/>
        </w:rPr>
      </w:pPr>
      <w:r>
        <w:rPr>
          <w:rFonts w:hint="eastAsia" w:ascii="ＭＳ ゴシック" w:hAnsi="ＭＳ ゴシック" w:eastAsia="ＭＳ ゴシック"/>
        </w:rPr>
        <w:t>　※「市予防条例」とは、「南丹市指定地域密着型介護予防サービスの事業の人員、設備及び運営並びに指定地域密着型介護予防サービスに係る介護予防のための効果的な支援の方法に関する基準を定める条例」（平成</w:t>
      </w:r>
      <w:r>
        <w:rPr>
          <w:rFonts w:hint="eastAsia" w:ascii="ＭＳ ゴシック" w:hAnsi="ＭＳ ゴシック" w:eastAsia="ＭＳ ゴシック"/>
        </w:rPr>
        <w:t>24</w:t>
      </w:r>
      <w:r>
        <w:rPr>
          <w:rFonts w:hint="eastAsia" w:ascii="ＭＳ ゴシック" w:hAnsi="ＭＳ ゴシック" w:eastAsia="ＭＳ ゴシック"/>
        </w:rPr>
        <w:t>年</w:t>
      </w:r>
      <w:r>
        <w:rPr>
          <w:rFonts w:hint="eastAsia" w:ascii="ＭＳ ゴシック" w:hAnsi="ＭＳ ゴシック" w:eastAsia="ＭＳ ゴシック"/>
        </w:rPr>
        <w:t>12</w:t>
      </w:r>
      <w:r>
        <w:rPr>
          <w:rFonts w:hint="eastAsia" w:ascii="ＭＳ ゴシック" w:hAnsi="ＭＳ ゴシック" w:eastAsia="ＭＳ ゴシック"/>
        </w:rPr>
        <w:t>月</w:t>
      </w:r>
      <w:r>
        <w:rPr>
          <w:rFonts w:hint="eastAsia" w:ascii="ＭＳ ゴシック" w:hAnsi="ＭＳ ゴシック" w:eastAsia="ＭＳ ゴシック"/>
        </w:rPr>
        <w:t>25</w:t>
      </w:r>
      <w:r>
        <w:rPr>
          <w:rFonts w:hint="eastAsia" w:ascii="ＭＳ ゴシック" w:hAnsi="ＭＳ ゴシック" w:eastAsia="ＭＳ ゴシック"/>
        </w:rPr>
        <w:t>日　南丹市条例第</w:t>
      </w:r>
      <w:r>
        <w:rPr>
          <w:rFonts w:hint="eastAsia" w:ascii="ＭＳ ゴシック" w:hAnsi="ＭＳ ゴシック" w:eastAsia="ＭＳ ゴシック"/>
        </w:rPr>
        <w:t>23</w:t>
      </w:r>
      <w:r>
        <w:rPr>
          <w:rFonts w:hint="eastAsia" w:ascii="ＭＳ ゴシック" w:hAnsi="ＭＳ ゴシック" w:eastAsia="ＭＳ ゴシック"/>
        </w:rPr>
        <w:t>号）を指します。</w:t>
      </w:r>
    </w:p>
    <w:sectPr>
      <w:pgSz w:w="11907" w:h="16840"/>
      <w:pgMar w:top="1134" w:right="851" w:bottom="1134" w:left="1077" w:header="783" w:footer="567" w:gutter="0"/>
      <w:pgNumType w:start="1"/>
      <w:cols w:space="720"/>
      <w:textDirection w:val="lrTb"/>
      <w:docGrid w:type="lines" w:linePitch="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eastAsia" w:ascii="ＭＳ ゴシック" w:hAnsi="ＭＳ ゴシック" w:eastAsia="ＭＳ ゴシック"/>
      </w:rPr>
    </w:pPr>
    <w:r>
      <w:rPr>
        <w:rFonts w:hint="eastAsia" w:ascii="ＭＳ ゴシック" w:hAnsi="ＭＳ ゴシック" w:eastAsia="ＭＳ ゴシック"/>
      </w:rPr>
      <w:t>介護予防小規模多機能型居宅介護　</w:t>
    </w:r>
    <w:r>
      <w:rPr>
        <w:rFonts w:hint="eastAsia"/>
      </w:rPr>
      <w:fldChar w:fldCharType="begin"/>
    </w:r>
    <w:r>
      <w:rPr>
        <w:rFonts w:hint="eastAsia"/>
      </w:rPr>
      <w:instrText xml:space="preserve">PAGE  \* MERGEFORMAT </w:instrText>
    </w:r>
    <w:r>
      <w:rPr>
        <w:rFonts w:hint="eastAsia"/>
      </w:rPr>
      <w:fldChar w:fldCharType="separate"/>
    </w:r>
    <w:r>
      <w:rPr>
        <w:rStyle w:val="18"/>
        <w:rFonts w:hint="eastAsia" w:ascii="ＭＳ ゴシック" w:hAnsi="ＭＳ ゴシック" w:eastAsia="ＭＳ ゴシック"/>
      </w:rPr>
      <w:t>3</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ascii="ＭＳ ゴシック" w:hAnsi="ＭＳ ゴシック" w:eastAsia="ＭＳ ゴシック"/>
      </w:rPr>
      <w:t>自主点検表（</w:t>
    </w:r>
    <w:r>
      <w:rPr>
        <w:rFonts w:hint="eastAsia" w:ascii="ＭＳ ゴシック" w:hAnsi="ＭＳ ゴシック" w:eastAsia="ＭＳ ゴシック"/>
      </w:rPr>
      <w:t>R3</w:t>
    </w:r>
    <w:r>
      <w:rPr>
        <w:rFonts w:hint="eastAsia" w:ascii="ＭＳ ゴシック" w:hAnsi="ＭＳ ゴシック" w:eastAsia="ＭＳ ゴシック"/>
      </w:rPr>
      <w:t>　南丹市）　</w:t>
    </w:r>
    <w:r>
      <w:rPr>
        <w:rFonts w:hint="eastAsia" w:ascii="ＭＳ ゴシック" w:hAnsi="ＭＳ ゴシック" w:eastAsia="ＭＳ ゴシック"/>
        <w:w w:val="80"/>
      </w:rPr>
      <w:t>各項目の□にチェックを入れながら点検を行ってください。</w:t>
    </w:r>
    <w:r>
      <w:rPr>
        <w:rFonts w:hint="eastAsia" w:ascii="ＭＳ ゴシック" w:hAnsi="ＭＳ ゴシック" w:eastAsia="ＭＳ ゴシック"/>
      </w:rPr>
      <w:t>　　　　【介護予防小規模多機能型居宅介護</w:t>
    </w:r>
    <w:r>
      <w:rPr>
        <w:rFonts w:hint="eastAsia"/>
      </w:rPr>
      <w:t>】</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oNotTrackMoves/>
  <w:defaultTabStop w:val="851"/>
  <w:drawingGridHorizontalSpacing w:val="90"/>
  <w:drawingGridVertic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autoSpaceDE w:val="0"/>
      <w:autoSpaceDN w:val="0"/>
      <w:spacing w:line="240" w:lineRule="exact"/>
      <w:ind w:left="351" w:hanging="351"/>
    </w:pPr>
  </w:style>
  <w:style w:type="character" w:styleId="18">
    <w:name w:val="page number"/>
    <w:basedOn w:val="10"/>
    <w:next w:val="18"/>
    <w:link w:val="0"/>
    <w:uiPriority w:val="0"/>
  </w:style>
  <w:style w:type="paragraph" w:styleId="19">
    <w:name w:val="Body Text Indent 2"/>
    <w:basedOn w:val="0"/>
    <w:next w:val="19"/>
    <w:link w:val="0"/>
    <w:uiPriority w:val="0"/>
    <w:pPr>
      <w:autoSpaceDE w:val="0"/>
      <w:autoSpaceDN w:val="0"/>
      <w:spacing w:line="240" w:lineRule="exact"/>
      <w:ind w:left="441" w:hanging="441"/>
    </w:pPr>
  </w:style>
  <w:style w:type="paragraph" w:styleId="20">
    <w:name w:val="Body Text Indent 3"/>
    <w:basedOn w:val="0"/>
    <w:next w:val="20"/>
    <w:link w:val="0"/>
    <w:uiPriority w:val="0"/>
    <w:pPr>
      <w:autoSpaceDE w:val="0"/>
      <w:autoSpaceDN w:val="0"/>
      <w:spacing w:line="200" w:lineRule="exact"/>
      <w:ind w:left="171" w:hanging="180"/>
    </w:pPr>
    <w:rPr>
      <w:sz w:val="16"/>
    </w:rPr>
  </w:style>
  <w:style w:type="paragraph" w:styleId="21">
    <w:name w:val="Body Text"/>
    <w:basedOn w:val="0"/>
    <w:next w:val="21"/>
    <w:link w:val="0"/>
    <w:uiPriority w:val="0"/>
    <w:pPr>
      <w:autoSpaceDE w:val="0"/>
      <w:autoSpaceDN w:val="0"/>
      <w:spacing w:line="180" w:lineRule="exact"/>
    </w:pPr>
    <w:rPr>
      <w:sz w:val="16"/>
    </w:rPr>
  </w:style>
  <w:style w:type="paragraph" w:styleId="22">
    <w:name w:val="Body Text 2"/>
    <w:basedOn w:val="0"/>
    <w:next w:val="22"/>
    <w:link w:val="0"/>
    <w:uiPriority w:val="0"/>
    <w:pPr>
      <w:autoSpaceDE w:val="0"/>
      <w:autoSpaceDN w:val="0"/>
      <w:spacing w:line="200" w:lineRule="exact"/>
    </w:pPr>
    <w:rPr>
      <w:sz w:val="16"/>
      <w:u w:val="single" w:color="auto"/>
    </w:rPr>
  </w:style>
  <w:style w:type="paragraph" w:styleId="23" w:customStyle="1">
    <w:name w:val="一太郎"/>
    <w:next w:val="23"/>
    <w:link w:val="0"/>
    <w:uiPriority w:val="0"/>
    <w:qFormat/>
    <w:pPr>
      <w:widowControl w:val="0"/>
      <w:wordWrap w:val="0"/>
      <w:autoSpaceDE w:val="0"/>
      <w:autoSpaceDN w:val="0"/>
      <w:adjustRightInd w:val="0"/>
      <w:spacing w:line="211" w:lineRule="exact"/>
      <w:jc w:val="both"/>
    </w:pPr>
    <w:rPr>
      <w:rFonts w:eastAsia="ＭＳ ゴシック"/>
      <w:spacing w:val="2"/>
      <w:sz w:val="18"/>
    </w:rPr>
  </w:style>
  <w:style w:type="character" w:styleId="24">
    <w:name w:val="Emphasis"/>
    <w:next w:val="24"/>
    <w:link w:val="0"/>
    <w:uiPriority w:val="0"/>
    <w:qFormat/>
    <w:rPr>
      <w:i w:val="1"/>
    </w:rPr>
  </w:style>
  <w:style w:type="paragraph" w:styleId="25">
    <w:name w:val="Balloon Text"/>
    <w:basedOn w:val="0"/>
    <w:next w:val="25"/>
    <w:link w:val="26"/>
    <w:uiPriority w:val="0"/>
    <w:semiHidden/>
    <w:rPr>
      <w:rFonts w:ascii="Arial" w:hAnsi="Arial" w:eastAsia="ＭＳ ゴシック"/>
    </w:rPr>
  </w:style>
  <w:style w:type="character" w:styleId="26" w:customStyle="1">
    <w:name w:val="吹き出し (文字)"/>
    <w:next w:val="26"/>
    <w:link w:val="25"/>
    <w:uiPriority w:val="0"/>
    <w:qFormat/>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153</TotalTime>
  <Pages>5</Pages>
  <Words>39</Words>
  <Characters>5643</Characters>
  <Application>JUST Note</Application>
  <Lines>469</Lines>
  <Paragraphs>180</Paragraphs>
  <CharactersWithSpaces>5863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2021-08-24T00:49:29Z</cp:lastPrinted>
  <dcterms:created xsi:type="dcterms:W3CDTF">2020-09-09T08:13:00Z</dcterms:created>
  <dcterms:modified xsi:type="dcterms:W3CDTF">2021-10-01T08:52:04Z</dcterms:modified>
  <cp:revision>8</cp:revision>
</cp:coreProperties>
</file>