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9" w:tblpY="-180"/>
        <w:tblOverlap w:val="neve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0035"/>
      </w:tblGrid>
      <w:tr>
        <w:trPr/>
        <w:tc>
          <w:tcPr>
            <w:tcW w:w="10035" w:type="dxa"/>
            <w:tcBorders>
              <w:top w:val="nil"/>
              <w:left w:val="nil"/>
              <w:bottom w:val="nil"/>
              <w:right w:val="nil"/>
              <w:tl2br w:val="nil"/>
              <w:tr2bl w:val="nil"/>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南　丹　市　長　様</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ind w:right="876" w:rightChars="417" w:firstLine="4480" w:firstLineChars="3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sz w:val="14"/>
              </w:rPr>
              <w:t>（名称及び代表者の氏名）　</w:t>
            </w:r>
            <w:r>
              <w:rPr>
                <w:rFonts w:hint="eastAsia" w:ascii="ＭＳ ゴシック" w:hAnsi="ＭＳ ゴシック" w:eastAsia="ＭＳ ゴシック"/>
                <w:color w:val="000000"/>
                <w:kern w:val="0"/>
                <w:sz w:val="14"/>
              </w:rPr>
              <w:t xml:space="preserve">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wordWrap w:val="0"/>
              <w:overflowPunct w:val="0"/>
              <w:autoSpaceDE w:val="0"/>
              <w:autoSpaceDN w:val="0"/>
              <w:adjustRightInd w:val="0"/>
              <w:spacing w:line="1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ａ：Ａの期間に対応する前年３か月間の原油等の仕入価格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Ｂ：申込時点における最近３か月間の売上高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spacing w:line="180" w:lineRule="exact"/>
        <w:ind w:left="862"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（注１）本様式は、１つの指定業種に属する事業のみを営んでいる場合、又は営んでいる複数の事業が全て指定業種に属する場合に使用</w:t>
      </w:r>
    </w:p>
    <w:p>
      <w:pPr>
        <w:pStyle w:val="0"/>
        <w:suppressAutoHyphens w:val="1"/>
        <w:spacing w:line="180" w:lineRule="exact"/>
        <w:ind w:left="210" w:leftChars="100" w:firstLine="320" w:firstLineChars="200"/>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する。</w:t>
      </w:r>
    </w:p>
    <w:p>
      <w:pPr>
        <w:pStyle w:val="0"/>
        <w:suppressAutoHyphens w:val="1"/>
        <w:spacing w:line="180" w:lineRule="exact"/>
        <w:ind w:left="862"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（注２）上昇率及び依存率が２０％以上となっていること。</w:t>
      </w:r>
    </w:p>
    <w:p>
      <w:pPr>
        <w:pStyle w:val="0"/>
        <w:suppressAutoHyphens w:val="1"/>
        <w:spacing w:line="180" w:lineRule="exact"/>
        <w:ind w:left="738" w:hanging="738"/>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（注３）Ｐ＞０となっていること。</w:t>
      </w:r>
    </w:p>
    <w:p>
      <w:pPr>
        <w:pStyle w:val="0"/>
        <w:suppressAutoHyphens w:val="1"/>
        <w:spacing w:line="180" w:lineRule="exact"/>
        <w:ind w:left="738" w:hanging="738"/>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（注４）申請者全体の値を記載。</w:t>
      </w:r>
    </w:p>
    <w:p>
      <w:pPr>
        <w:pStyle w:val="0"/>
        <w:suppressAutoHyphens w:val="1"/>
        <w:spacing w:line="180" w:lineRule="exact"/>
        <w:ind w:left="1230" w:hanging="123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（留意事項）</w:t>
      </w:r>
    </w:p>
    <w:p>
      <w:pPr>
        <w:pStyle w:val="0"/>
        <w:suppressAutoHyphens w:val="1"/>
        <w:spacing w:line="180" w:lineRule="exact"/>
        <w:jc w:val="left"/>
        <w:textAlignment w:val="baseline"/>
        <w:rPr>
          <w:rFonts w:hint="default" w:ascii="ＭＳ ゴシック" w:hAnsi="ＭＳ ゴシック" w:eastAsia="ＭＳ ゴシック"/>
          <w:color w:val="000000"/>
          <w:spacing w:val="16"/>
          <w:kern w:val="0"/>
          <w:sz w:val="16"/>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4445</wp:posOffset>
                </wp:positionH>
                <wp:positionV relativeFrom="paragraph">
                  <wp:posOffset>113030</wp:posOffset>
                </wp:positionV>
                <wp:extent cx="6286500" cy="1838325"/>
                <wp:effectExtent l="0" t="0" r="635" b="635"/>
                <wp:wrapNone/>
                <wp:docPr id="1026" name="Rectangle 3"/>
                <a:graphic xmlns:a="http://schemas.openxmlformats.org/drawingml/2006/main">
                  <a:graphicData uri="http://schemas.microsoft.com/office/word/2010/wordprocessingShape">
                    <wps:wsp>
                      <wps:cNvPr id="1026" name="Rectangle 3"/>
                      <wps:cNvSpPr>
                        <a:spLocks noChangeArrowheads="1"/>
                      </wps:cNvSpPr>
                      <wps:spPr>
                        <a:xfrm>
                          <a:off x="0" y="0"/>
                          <a:ext cx="6286500" cy="1838325"/>
                        </a:xfrm>
                        <a:prstGeom prst="rect">
                          <a:avLst/>
                        </a:prstGeom>
                        <a:noFill/>
                        <a:ln w="9525">
                          <a:noFill/>
                          <a:miter lim="800000"/>
                          <a:headEnd/>
                          <a:tailEnd/>
                        </a:ln>
                      </wps:spPr>
                      <wps:txbx>
                        <w:txbxContent>
                          <w:p>
                            <w:pPr>
                              <w:pStyle w:val="0"/>
                              <w:spacing w:line="220" w:lineRule="exact"/>
                              <w:ind w:firstLine="210" w:firstLineChars="100"/>
                              <w:rPr>
                                <w:rFonts w:hint="default"/>
                              </w:rPr>
                            </w:pPr>
                          </w:p>
                          <w:p>
                            <w:pPr>
                              <w:pStyle w:val="0"/>
                              <w:spacing w:line="220" w:lineRule="exact"/>
                              <w:ind w:firstLine="210" w:firstLineChars="100"/>
                              <w:rPr>
                                <w:rFonts w:hint="default"/>
                              </w:rPr>
                            </w:pPr>
                          </w:p>
                          <w:p>
                            <w:pPr>
                              <w:pStyle w:val="0"/>
                              <w:spacing w:line="220" w:lineRule="exact"/>
                              <w:ind w:firstLine="220" w:firstLineChars="100"/>
                              <w:jc w:val="right"/>
                              <w:rPr>
                                <w:rFonts w:hint="default" w:ascii="ＭＳ ゴシック" w:hAnsi="ＭＳ ゴシック" w:eastAsia="ＭＳ ゴシック"/>
                                <w:sz w:val="22"/>
                              </w:rPr>
                            </w:pPr>
                            <w:r>
                              <w:rPr>
                                <w:rFonts w:hint="eastAsia" w:ascii="ＭＳ ゴシック" w:hAnsi="ＭＳ ゴシック" w:eastAsia="ＭＳ ゴシック"/>
                                <w:sz w:val="22"/>
                              </w:rPr>
                              <w:t>南農商観第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号</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令和　　年　　月　　日</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申請のとおり、相違ないことを認定します。</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本認定書の有効期間</w:t>
                            </w:r>
                            <w:r>
                              <w:rPr>
                                <w:rFonts w:hint="eastAsia" w:ascii="ＭＳ ゴシック" w:hAnsi="ＭＳ ゴシック" w:eastAsia="ＭＳ ゴシック"/>
                                <w:sz w:val="22"/>
                              </w:rPr>
                              <w:t>:</w:t>
                            </w:r>
                            <w:r>
                              <w:rPr>
                                <w:rFonts w:hint="eastAsia" w:ascii="ＭＳ ゴシック" w:hAnsi="ＭＳ ゴシック" w:eastAsia="ＭＳ ゴシック"/>
                                <w:sz w:val="22"/>
                              </w:rPr>
                              <w:t>令和　　年　　月　　日から令和　　年　　月　　日まで</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sz w:val="22"/>
                              </w:rPr>
                              <w:t>南丹市</w:t>
                            </w:r>
                            <w:bookmarkStart w:id="0" w:name="_GoBack"/>
                            <w:bookmarkEnd w:id="0"/>
                            <w:r>
                              <w:rPr>
                                <w:rFonts w:hint="eastAsia" w:ascii="ＭＳ ゴシック" w:hAnsi="ＭＳ ゴシック" w:eastAsia="ＭＳ ゴシック"/>
                                <w:sz w:val="22"/>
                              </w:rPr>
                              <w:t>長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印</w:t>
                            </w:r>
                          </w:p>
                        </w:txbxContent>
                      </wps:txbx>
                      <wps:bodyPr rot="0" vertOverflow="overflow" horzOverflow="overflow" wrap="square" lIns="74295" tIns="8890" rIns="74295" bIns="8890" anchor="t" anchorCtr="0" upright="1"/>
                    </wps:wsp>
                  </a:graphicData>
                </a:graphic>
              </wp:anchor>
            </w:drawing>
          </mc:Choice>
          <mc:Fallback>
            <w:pict>
              <v:rect id="Rectangle 3" style="mso-wrap-distance-right:9pt;mso-wrap-distance-bottom:0pt;margin-top:8.9pt;mso-position-vertical-relative:text;mso-position-horizontal-relative:text;v-text-anchor:top;position:absolute;height:144.75pt;mso-wrap-distance-top:0pt;width:495pt;mso-wrap-distance-left:9pt;margin-left:0.35pt;z-index:2;" o:spid="_x0000_s1026" o:allowincell="t" o:allowoverlap="t" filled="f" stroked="f" strokeweight="0.75pt" o:spt="1">
                <v:fill/>
                <v:stroke miterlimit="8"/>
                <v:textbox style="layout-flow:horizontal;" inset="2.0637499999999998mm,0.24694444444444438mm,2.0637499999999998mm,0.24694444444444438mm">
                  <w:txbxContent>
                    <w:p>
                      <w:pPr>
                        <w:pStyle w:val="0"/>
                        <w:spacing w:line="220" w:lineRule="exact"/>
                        <w:ind w:firstLine="210" w:firstLineChars="100"/>
                        <w:rPr>
                          <w:rFonts w:hint="default"/>
                        </w:rPr>
                      </w:pPr>
                    </w:p>
                    <w:p>
                      <w:pPr>
                        <w:pStyle w:val="0"/>
                        <w:spacing w:line="220" w:lineRule="exact"/>
                        <w:ind w:firstLine="210" w:firstLineChars="100"/>
                        <w:rPr>
                          <w:rFonts w:hint="default"/>
                        </w:rPr>
                      </w:pPr>
                    </w:p>
                    <w:p>
                      <w:pPr>
                        <w:pStyle w:val="0"/>
                        <w:spacing w:line="220" w:lineRule="exact"/>
                        <w:ind w:firstLine="220" w:firstLineChars="100"/>
                        <w:jc w:val="right"/>
                        <w:rPr>
                          <w:rFonts w:hint="default" w:ascii="ＭＳ ゴシック" w:hAnsi="ＭＳ ゴシック" w:eastAsia="ＭＳ ゴシック"/>
                          <w:sz w:val="22"/>
                        </w:rPr>
                      </w:pPr>
                      <w:r>
                        <w:rPr>
                          <w:rFonts w:hint="eastAsia" w:ascii="ＭＳ ゴシック" w:hAnsi="ＭＳ ゴシック" w:eastAsia="ＭＳ ゴシック"/>
                          <w:sz w:val="22"/>
                        </w:rPr>
                        <w:t>南農商観第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号</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令和　　年　　月　　日</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申請のとおり、相違ないことを認定します。</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本認定書の有効期間</w:t>
                      </w:r>
                      <w:r>
                        <w:rPr>
                          <w:rFonts w:hint="eastAsia" w:ascii="ＭＳ ゴシック" w:hAnsi="ＭＳ ゴシック" w:eastAsia="ＭＳ ゴシック"/>
                          <w:sz w:val="22"/>
                        </w:rPr>
                        <w:t>:</w:t>
                      </w:r>
                      <w:r>
                        <w:rPr>
                          <w:rFonts w:hint="eastAsia" w:ascii="ＭＳ ゴシック" w:hAnsi="ＭＳ ゴシック" w:eastAsia="ＭＳ ゴシック"/>
                          <w:sz w:val="22"/>
                        </w:rPr>
                        <w:t>令和　　年　　月　　日から令和　　年　　月　　日まで</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sz w:val="22"/>
                        </w:rPr>
                        <w:t>南丹市</w:t>
                      </w:r>
                      <w:bookmarkStart w:id="1" w:name="_GoBack"/>
                      <w:bookmarkEnd w:id="1"/>
                      <w:r>
                        <w:rPr>
                          <w:rFonts w:hint="eastAsia" w:ascii="ＭＳ ゴシック" w:hAnsi="ＭＳ ゴシック" w:eastAsia="ＭＳ ゴシック"/>
                          <w:sz w:val="22"/>
                        </w:rPr>
                        <w:t>長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印</w:t>
                      </w:r>
                    </w:p>
                  </w:txbxContent>
                </v:textbox>
                <v:imagedata o:title=""/>
                <w10:wrap type="none" anchorx="text" anchory="text"/>
              </v:rect>
            </w:pict>
          </mc:Fallback>
        </mc:AlternateContent>
      </w:r>
      <w:r>
        <w:rPr>
          <w:rFonts w:hint="eastAsia" w:ascii="ＭＳ ゴシック" w:hAnsi="ＭＳ ゴシック" w:eastAsia="ＭＳ ゴシック"/>
          <w:color w:val="000000"/>
          <w:kern w:val="0"/>
          <w:sz w:val="16"/>
        </w:rPr>
        <w:t>　①　本認定とは別に、金融機関及び信用保証協会による金融上の審査があります。</w:t>
      </w:r>
    </w:p>
    <w:p>
      <w:pPr>
        <w:pStyle w:val="0"/>
        <w:widowControl w:val="1"/>
        <w:spacing w:line="180" w:lineRule="exact"/>
        <w:ind w:left="411" w:hanging="411" w:hangingChars="257"/>
        <w:jc w:val="left"/>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　②　市町村長又は特別区長から認定を受けた後、本認定の有効期間内に金融機関又は信用保証協会に対して、経営安定関連保証の申込みを行うことが必要です。</w:t>
      </w:r>
    </w:p>
    <w:p>
      <w:pPr>
        <w:pStyle w:val="0"/>
        <w:widowControl w:val="1"/>
        <w:spacing w:line="300" w:lineRule="exact"/>
        <w:ind w:left="617" w:hanging="617" w:hangingChars="257"/>
        <w:jc w:val="right"/>
        <w:rPr>
          <w:rFonts w:hint="default" w:ascii="ＭＳ ゴシック" w:hAnsi="ＭＳ ゴシック" w:eastAsia="ＭＳ ゴシック"/>
          <w:sz w:val="24"/>
        </w:rPr>
      </w:pPr>
      <w:r>
        <w:rPr>
          <w:rFonts w:hint="eastAsia" w:ascii="ＭＳ ゴシック" w:hAnsi="ＭＳ ゴシック" w:eastAsia="ＭＳ ゴシック"/>
          <w:sz w:val="24"/>
        </w:rPr>
        <w:br w:type="page"/>
      </w:r>
    </w:p>
    <w:p>
      <w:pPr>
        <w:pStyle w:val="0"/>
        <w:widowControl w:val="1"/>
        <w:spacing w:line="300" w:lineRule="exact"/>
        <w:ind w:left="514" w:hanging="514" w:hangingChars="257"/>
        <w:jc w:val="righ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（申請書ロ－①の添付書類）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u w:val="single" w:color="auto"/>
        </w:rPr>
      </w:pPr>
      <w:r>
        <w:rPr>
          <w:rFonts w:hint="eastAsia" w:ascii="ＭＳ ゴシック" w:hAnsi="ＭＳ ゴシック" w:eastAsia="ＭＳ ゴシック"/>
          <w:sz w:val="20"/>
          <w:u w:val="single" w:color="auto"/>
        </w:rPr>
        <w:t>申請者名：　　　　　　　　　　　　　　</w:t>
      </w:r>
    </w:p>
    <w:p>
      <w:pPr>
        <w:pStyle w:val="0"/>
        <w:widowControl w:val="1"/>
        <w:jc w:val="left"/>
        <w:rPr>
          <w:rFonts w:hint="default" w:ascii="ＭＳ ゴシック" w:hAnsi="ＭＳ ゴシック" w:eastAsia="ＭＳ ゴシック"/>
          <w:sz w:val="20"/>
        </w:rPr>
      </w:pPr>
    </w:p>
    <w:p>
      <w:pPr>
        <w:pStyle w:val="0"/>
        <w:widowControl w:val="1"/>
        <w:jc w:val="left"/>
        <w:rPr>
          <w:rFonts w:hint="default" w:ascii="ＭＳ ゴシック" w:hAnsi="ＭＳ ゴシック" w:eastAsia="ＭＳ ゴシック"/>
          <w:sz w:val="20"/>
        </w:rPr>
      </w:pPr>
      <w:r>
        <w:rPr>
          <w:rFonts w:hint="eastAsia" w:ascii="ＭＳ ゴシック" w:hAnsi="ＭＳ ゴシック" w:eastAsia="ＭＳ ゴシック"/>
          <w:sz w:val="20"/>
        </w:rPr>
        <w:t>（表１：事業が属する業種毎の最近１年間の売上高）</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6"/>
        <w:gridCol w:w="3256"/>
        <w:gridCol w:w="3256"/>
      </w:tblGrid>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0"/>
              </w:rPr>
            </w:pPr>
            <w:r>
              <w:rPr>
                <w:rFonts w:hint="eastAsia" w:ascii="ＭＳ ゴシック" w:hAnsi="ＭＳ ゴシック" w:eastAsia="ＭＳ ゴシック"/>
                <w:sz w:val="20"/>
              </w:rPr>
              <w:t>業種（※１）</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0"/>
              </w:rPr>
            </w:pPr>
            <w:r>
              <w:rPr>
                <w:rFonts w:hint="eastAsia" w:ascii="ＭＳ ゴシック" w:hAnsi="ＭＳ ゴシック" w:eastAsia="ＭＳ ゴシック"/>
                <w:sz w:val="20"/>
              </w:rPr>
              <w:t>最近の売上高</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0"/>
              </w:rPr>
            </w:pPr>
            <w:r>
              <w:rPr>
                <w:rFonts w:hint="eastAsia" w:ascii="ＭＳ ゴシック" w:hAnsi="ＭＳ ゴシック" w:eastAsia="ＭＳ ゴシック"/>
                <w:sz w:val="20"/>
              </w:rPr>
              <w:t>構成比</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0"/>
              </w:rPr>
            </w:pPr>
            <w:r>
              <w:rPr>
                <w:rFonts w:hint="eastAsia" w:ascii="ＭＳ ゴシック" w:hAnsi="ＭＳ ゴシック" w:eastAsia="ＭＳ ゴシック"/>
                <w:sz w:val="20"/>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0"/>
              </w:rPr>
            </w:pPr>
            <w:r>
              <w:rPr>
                <w:rFonts w:hint="eastAsia" w:ascii="ＭＳ ゴシック" w:hAnsi="ＭＳ ゴシック" w:eastAsia="ＭＳ ゴシック"/>
                <w:sz w:val="20"/>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0"/>
              </w:rPr>
            </w:pPr>
            <w:r>
              <w:rPr>
                <w:rFonts w:hint="eastAsia" w:ascii="ＭＳ ゴシック" w:hAnsi="ＭＳ ゴシック" w:eastAsia="ＭＳ ゴシック"/>
                <w:sz w:val="20"/>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0"/>
              </w:rPr>
            </w:pPr>
            <w:r>
              <w:rPr>
                <w:rFonts w:hint="eastAsia" w:ascii="ＭＳ ゴシック" w:hAnsi="ＭＳ ゴシック" w:eastAsia="ＭＳ ゴシック"/>
                <w:sz w:val="20"/>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0"/>
              </w:rPr>
            </w:pPr>
            <w:r>
              <w:rPr>
                <w:rFonts w:hint="eastAsia" w:ascii="ＭＳ ゴシック" w:hAnsi="ＭＳ ゴシック" w:eastAsia="ＭＳ ゴシック"/>
                <w:sz w:val="20"/>
              </w:rPr>
              <w:t>全体の売上高</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100</w:t>
            </w:r>
            <w:r>
              <w:rPr>
                <w:rFonts w:hint="eastAsia" w:ascii="ＭＳ ゴシック" w:hAnsi="ＭＳ ゴシック" w:eastAsia="ＭＳ ゴシック"/>
                <w:sz w:val="20"/>
              </w:rPr>
              <w:t>％</w:t>
            </w:r>
          </w:p>
        </w:tc>
      </w:tr>
    </w:tbl>
    <w:p>
      <w:pPr>
        <w:pStyle w:val="0"/>
        <w:widowControl w:val="1"/>
        <w:ind w:left="584" w:hanging="584" w:hangingChars="292"/>
        <w:jc w:val="left"/>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sz w:val="20"/>
        </w:rPr>
        <w:t>※１：業種欄には、営んでいる全ての事業が属する業種（</w:t>
      </w:r>
      <w:r>
        <w:rPr>
          <w:rFonts w:hint="eastAsia" w:ascii="ＭＳ ゴシック" w:hAnsi="ＭＳ ゴシック" w:eastAsia="ＭＳ ゴシック"/>
          <w:color w:val="000000"/>
          <w:spacing w:val="16"/>
          <w:kern w:val="0"/>
          <w:sz w:val="20"/>
        </w:rPr>
        <w:t>日本標準産業分類の細分類番号と細分類業種名）を記載。細分類業種は全て指定業種に該当することが必要。</w:t>
      </w:r>
    </w:p>
    <w:p>
      <w:pPr>
        <w:pStyle w:val="0"/>
        <w:suppressAutoHyphens w:val="1"/>
        <w:kinsoku w:val="0"/>
        <w:wordWrap w:val="0"/>
        <w:autoSpaceDE w:val="0"/>
        <w:autoSpaceDN w:val="0"/>
        <w:spacing w:before="180" w:beforeLines="50" w:beforeAutospacing="0" w:line="366" w:lineRule="atLeast"/>
        <w:jc w:val="left"/>
        <w:rPr>
          <w:rFonts w:hint="default" w:ascii="ＭＳ ゴシック" w:hAnsi="ＭＳ ゴシック" w:eastAsia="ＭＳ ゴシック"/>
          <w:sz w:val="20"/>
        </w:rPr>
      </w:pPr>
      <w:r>
        <w:rPr>
          <w:rFonts w:hint="eastAsia" w:ascii="ＭＳ ゴシック" w:hAnsi="ＭＳ ゴシック" w:eastAsia="ＭＳ ゴシック"/>
          <w:sz w:val="20"/>
        </w:rPr>
        <w:t>（表２：企業全体に係る原油等の仕入単価の上昇）</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97"/>
        <w:gridCol w:w="2463"/>
        <w:gridCol w:w="2463"/>
        <w:gridCol w:w="2463"/>
      </w:tblGrid>
      <w:tr>
        <w:trPr/>
        <w:tc>
          <w:tcPr>
            <w:tcW w:w="23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24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原油等の最近１か月の平均仕入単価</w:t>
            </w:r>
          </w:p>
        </w:tc>
        <w:tc>
          <w:tcPr>
            <w:tcW w:w="24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原油等の前年同月の平均仕入単価</w:t>
            </w:r>
          </w:p>
        </w:tc>
        <w:tc>
          <w:tcPr>
            <w:tcW w:w="24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原油等の仕入単価の上昇率</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E/</w:t>
            </w:r>
            <w:r>
              <w:rPr>
                <w:rFonts w:hint="eastAsia" w:ascii="ＭＳ ゴシック" w:hAnsi="ＭＳ ゴシック" w:eastAsia="ＭＳ ゴシック"/>
                <w:sz w:val="20"/>
              </w:rPr>
              <w:t>ｅ×</w:t>
            </w:r>
            <w:r>
              <w:rPr>
                <w:rFonts w:hint="eastAsia" w:ascii="ＭＳ ゴシック" w:hAnsi="ＭＳ ゴシック" w:eastAsia="ＭＳ ゴシック"/>
                <w:sz w:val="20"/>
              </w:rPr>
              <w:t>100</w:t>
            </w:r>
            <w:r>
              <w:rPr>
                <w:rFonts w:hint="eastAsia" w:ascii="ＭＳ ゴシック" w:hAnsi="ＭＳ ゴシック" w:eastAsia="ＭＳ ゴシック"/>
                <w:sz w:val="20"/>
              </w:rPr>
              <w:t>－</w:t>
            </w:r>
            <w:r>
              <w:rPr>
                <w:rFonts w:hint="eastAsia" w:ascii="ＭＳ ゴシック" w:hAnsi="ＭＳ ゴシック" w:eastAsia="ＭＳ ゴシック"/>
                <w:sz w:val="20"/>
              </w:rPr>
              <w:t>100</w:t>
            </w:r>
            <w:r>
              <w:rPr>
                <w:rFonts w:hint="eastAsia" w:ascii="ＭＳ ゴシック" w:hAnsi="ＭＳ ゴシック" w:eastAsia="ＭＳ ゴシック"/>
                <w:sz w:val="20"/>
              </w:rPr>
              <w:t>）</w:t>
            </w:r>
          </w:p>
        </w:tc>
      </w:tr>
      <w:tr>
        <w:trPr/>
        <w:tc>
          <w:tcPr>
            <w:tcW w:w="23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企業全体</w:t>
            </w:r>
          </w:p>
        </w:tc>
        <w:tc>
          <w:tcPr>
            <w:tcW w:w="24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円【Ｅ】</w:t>
            </w:r>
          </w:p>
        </w:tc>
        <w:tc>
          <w:tcPr>
            <w:tcW w:w="24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円【ｅ】</w:t>
            </w:r>
          </w:p>
        </w:tc>
        <w:tc>
          <w:tcPr>
            <w:tcW w:w="24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w:t>
            </w:r>
          </w:p>
        </w:tc>
      </w:tr>
    </w:tbl>
    <w:p>
      <w:pPr>
        <w:pStyle w:val="0"/>
        <w:suppressAutoHyphens w:val="1"/>
        <w:kinsoku w:val="0"/>
        <w:wordWrap w:val="0"/>
        <w:autoSpaceDE w:val="0"/>
        <w:autoSpaceDN w:val="0"/>
        <w:spacing w:before="180" w:beforeLines="50" w:beforeAutospacing="0" w:line="366" w:lineRule="atLeast"/>
        <w:jc w:val="left"/>
        <w:rPr>
          <w:rFonts w:hint="default" w:ascii="ＭＳ ゴシック" w:hAnsi="ＭＳ ゴシック" w:eastAsia="ＭＳ ゴシック"/>
          <w:sz w:val="20"/>
        </w:rPr>
      </w:pPr>
      <w:r>
        <w:rPr>
          <w:rFonts w:hint="eastAsia" w:ascii="ＭＳ ゴシック" w:hAnsi="ＭＳ ゴシック" w:eastAsia="ＭＳ ゴシック"/>
          <w:sz w:val="20"/>
        </w:rPr>
        <w:t>（表３：企業全体の売上原価に占める原油等の仕入価格の割合</w:t>
      </w:r>
      <w:r>
        <w:rPr>
          <w:rFonts w:hint="eastAsia" w:ascii="ＭＳ ゴシック" w:hAnsi="ＭＳ ゴシック" w:eastAsia="ＭＳ ゴシック"/>
          <w:color w:val="000000"/>
          <w:kern w:val="0"/>
          <w:sz w:val="20"/>
        </w:rPr>
        <w:t>）</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62"/>
        <w:gridCol w:w="2260"/>
        <w:gridCol w:w="2766"/>
        <w:gridCol w:w="2698"/>
      </w:tblGrid>
      <w:tr>
        <w:trPr>
          <w:trHeight w:val="1147" w:hRule="atLeast"/>
        </w:trPr>
        <w:tc>
          <w:tcPr>
            <w:tcW w:w="2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最新の売上原価</w:t>
            </w:r>
          </w:p>
          <w:p>
            <w:pPr>
              <w:pStyle w:val="0"/>
              <w:jc w:val="center"/>
              <w:rPr>
                <w:rFonts w:hint="default" w:ascii="ＭＳ ゴシック" w:hAnsi="ＭＳ ゴシック" w:eastAsia="ＭＳ ゴシック"/>
                <w:sz w:val="20"/>
              </w:rPr>
            </w:pPr>
          </w:p>
        </w:tc>
        <w:tc>
          <w:tcPr>
            <w:tcW w:w="2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最新の売上原価に対応する原油等の仕入価格</w:t>
            </w:r>
          </w:p>
        </w:tc>
        <w:tc>
          <w:tcPr>
            <w:tcW w:w="2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売上原価に占める原油等の仕入価格の割合</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S/C</w:t>
            </w:r>
            <w:r>
              <w:rPr>
                <w:rFonts w:hint="eastAsia" w:ascii="ＭＳ ゴシック" w:hAnsi="ＭＳ ゴシック" w:eastAsia="ＭＳ ゴシック"/>
                <w:sz w:val="20"/>
              </w:rPr>
              <w:t>×</w:t>
            </w:r>
            <w:r>
              <w:rPr>
                <w:rFonts w:hint="eastAsia" w:ascii="ＭＳ ゴシック" w:hAnsi="ＭＳ ゴシック" w:eastAsia="ＭＳ ゴシック"/>
                <w:sz w:val="20"/>
              </w:rPr>
              <w:t>100</w:t>
            </w:r>
            <w:r>
              <w:rPr>
                <w:rFonts w:hint="eastAsia" w:ascii="ＭＳ ゴシック" w:hAnsi="ＭＳ ゴシック" w:eastAsia="ＭＳ ゴシック"/>
                <w:sz w:val="20"/>
              </w:rPr>
              <w:t>）</w:t>
            </w:r>
          </w:p>
        </w:tc>
      </w:tr>
      <w:tr>
        <w:trPr>
          <w:trHeight w:val="363" w:hRule="atLeast"/>
        </w:trPr>
        <w:tc>
          <w:tcPr>
            <w:tcW w:w="2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企業全体</w:t>
            </w: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円【Ｃ】</w:t>
            </w:r>
          </w:p>
        </w:tc>
        <w:tc>
          <w:tcPr>
            <w:tcW w:w="2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円【Ｓ】</w:t>
            </w:r>
          </w:p>
        </w:tc>
        <w:tc>
          <w:tcPr>
            <w:tcW w:w="2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w:t>
            </w: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r>
        <w:rPr>
          <w:rFonts w:hint="eastAsia" w:ascii="ＭＳ ゴシック" w:hAnsi="ＭＳ ゴシック" w:eastAsia="ＭＳ ゴシック"/>
          <w:sz w:val="20"/>
        </w:rPr>
        <w:t>（注）最新の売上原価及び原油等の仕入価格は、直近の決算期の値を用いることも可。</w:t>
      </w:r>
    </w:p>
    <w:p>
      <w:pPr>
        <w:pStyle w:val="0"/>
        <w:suppressAutoHyphens w:val="1"/>
        <w:kinsoku w:val="0"/>
        <w:wordWrap w:val="0"/>
        <w:autoSpaceDE w:val="0"/>
        <w:autoSpaceDN w:val="0"/>
        <w:spacing w:before="180" w:beforeLines="50" w:beforeAutospacing="0" w:line="366" w:lineRule="atLeas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sz w:val="20"/>
        </w:rPr>
        <w:t>（表４：</w:t>
      </w:r>
      <w:r>
        <w:rPr>
          <w:rFonts w:hint="eastAsia" w:ascii="ＭＳ ゴシック" w:hAnsi="ＭＳ ゴシック" w:eastAsia="ＭＳ ゴシック"/>
          <w:color w:val="000000"/>
          <w:kern w:val="0"/>
          <w:sz w:val="20"/>
        </w:rPr>
        <w:t>企業全体の製品等価格への転嫁の状況）</w:t>
      </w:r>
    </w:p>
    <w:tbl>
      <w:tblPr>
        <w:tblStyle w:val="11"/>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810"/>
        <w:gridCol w:w="1461"/>
        <w:gridCol w:w="1593"/>
        <w:gridCol w:w="1068"/>
        <w:gridCol w:w="1331"/>
        <w:gridCol w:w="1461"/>
        <w:gridCol w:w="937"/>
        <w:gridCol w:w="919"/>
      </w:tblGrid>
      <w:tr>
        <w:trPr/>
        <w:tc>
          <w:tcPr>
            <w:tcW w:w="8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p>
        </w:tc>
        <w:tc>
          <w:tcPr>
            <w:tcW w:w="1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r>
              <w:rPr>
                <w:rFonts w:hint="eastAsia" w:ascii="ＭＳ ゴシック" w:hAnsi="ＭＳ ゴシック" w:eastAsia="ＭＳ ゴシック"/>
                <w:sz w:val="20"/>
              </w:rPr>
              <w:t>最近３か月間の原油等の仕入価格</w:t>
            </w:r>
          </w:p>
        </w:tc>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r>
              <w:rPr>
                <w:rFonts w:hint="eastAsia" w:ascii="ＭＳ ゴシック" w:hAnsi="ＭＳ ゴシック" w:eastAsia="ＭＳ ゴシック"/>
                <w:sz w:val="20"/>
              </w:rPr>
              <w:t>最近３か月間の売上高</w:t>
            </w:r>
          </w:p>
        </w:tc>
        <w:tc>
          <w:tcPr>
            <w:tcW w:w="1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A/B</w:t>
            </w:r>
            <w:r>
              <w:rPr>
                <w:rFonts w:hint="eastAsia" w:ascii="ＭＳ ゴシック" w:hAnsi="ＭＳ ゴシック" w:eastAsia="ＭＳ ゴシック"/>
                <w:sz w:val="20"/>
              </w:rPr>
              <w:t>）</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r>
              <w:rPr>
                <w:rFonts w:hint="eastAsia" w:ascii="ＭＳ ゴシック" w:hAnsi="ＭＳ ゴシック" w:eastAsia="ＭＳ ゴシック"/>
                <w:sz w:val="20"/>
              </w:rPr>
              <w:t>前年同期の原油等の仕入価格</w:t>
            </w:r>
          </w:p>
        </w:tc>
        <w:tc>
          <w:tcPr>
            <w:tcW w:w="1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r>
              <w:rPr>
                <w:rFonts w:hint="eastAsia" w:ascii="ＭＳ ゴシック" w:hAnsi="ＭＳ ゴシック" w:eastAsia="ＭＳ ゴシック"/>
                <w:sz w:val="20"/>
              </w:rPr>
              <w:t>前年同期の売上高</w:t>
            </w:r>
          </w:p>
        </w:tc>
        <w:tc>
          <w:tcPr>
            <w:tcW w:w="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a/b</w:t>
            </w:r>
            <w:r>
              <w:rPr>
                <w:rFonts w:hint="eastAsia" w:ascii="ＭＳ ゴシック" w:hAnsi="ＭＳ ゴシック" w:eastAsia="ＭＳ ゴシック"/>
                <w:sz w:val="20"/>
              </w:rPr>
              <w:t>）</w:t>
            </w:r>
          </w:p>
        </w:tc>
        <w:tc>
          <w:tcPr>
            <w:tcW w:w="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A/B</w:t>
            </w:r>
            <w:r>
              <w:rPr>
                <w:rFonts w:hint="eastAsia" w:ascii="ＭＳ ゴシック" w:hAnsi="ＭＳ ゴシック" w:eastAsia="ＭＳ ゴシック"/>
                <w:sz w:val="20"/>
              </w:rPr>
              <w:t>）－（</w:t>
            </w:r>
            <w:r>
              <w:rPr>
                <w:rFonts w:hint="eastAsia" w:ascii="ＭＳ ゴシック" w:hAnsi="ＭＳ ゴシック" w:eastAsia="ＭＳ ゴシック"/>
                <w:sz w:val="20"/>
              </w:rPr>
              <w:t>a/b</w:t>
            </w:r>
            <w:r>
              <w:rPr>
                <w:rFonts w:hint="eastAsia" w:ascii="ＭＳ ゴシック" w:hAnsi="ＭＳ ゴシック" w:eastAsia="ＭＳ ゴシック"/>
                <w:sz w:val="20"/>
              </w:rPr>
              <w:t>）＝Ｐ</w:t>
            </w:r>
          </w:p>
        </w:tc>
      </w:tr>
      <w:tr>
        <w:trPr/>
        <w:tc>
          <w:tcPr>
            <w:tcW w:w="8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r>
              <w:rPr>
                <w:rFonts w:hint="eastAsia" w:ascii="ＭＳ ゴシック" w:hAnsi="ＭＳ ゴシック" w:eastAsia="ＭＳ ゴシック"/>
                <w:sz w:val="20"/>
              </w:rPr>
              <w:t>企業</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r>
              <w:rPr>
                <w:rFonts w:hint="eastAsia" w:ascii="ＭＳ ゴシック" w:hAnsi="ＭＳ ゴシック" w:eastAsia="ＭＳ ゴシック"/>
                <w:sz w:val="20"/>
              </w:rPr>
              <w:t>全体</w:t>
            </w:r>
          </w:p>
        </w:tc>
        <w:tc>
          <w:tcPr>
            <w:tcW w:w="1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A</w:t>
            </w:r>
            <w:r>
              <w:rPr>
                <w:rFonts w:hint="eastAsia" w:ascii="ＭＳ ゴシック" w:hAnsi="ＭＳ ゴシック" w:eastAsia="ＭＳ ゴシック"/>
                <w:sz w:val="20"/>
              </w:rPr>
              <w:t>】</w:t>
            </w:r>
          </w:p>
        </w:tc>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B</w:t>
            </w:r>
            <w:r>
              <w:rPr>
                <w:rFonts w:hint="eastAsia" w:ascii="ＭＳ ゴシック" w:hAnsi="ＭＳ ゴシック" w:eastAsia="ＭＳ ゴシック"/>
                <w:sz w:val="20"/>
              </w:rPr>
              <w:t>】</w:t>
            </w:r>
          </w:p>
        </w:tc>
        <w:tc>
          <w:tcPr>
            <w:tcW w:w="1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a</w:t>
            </w:r>
            <w:r>
              <w:rPr>
                <w:rFonts w:hint="eastAsia" w:ascii="ＭＳ ゴシック" w:hAnsi="ＭＳ ゴシック" w:eastAsia="ＭＳ ゴシック"/>
                <w:sz w:val="20"/>
              </w:rPr>
              <w:t>】</w:t>
            </w:r>
          </w:p>
        </w:tc>
        <w:tc>
          <w:tcPr>
            <w:tcW w:w="1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b</w:t>
            </w:r>
            <w:r>
              <w:rPr>
                <w:rFonts w:hint="eastAsia" w:ascii="ＭＳ ゴシック" w:hAnsi="ＭＳ ゴシック" w:eastAsia="ＭＳ ゴシック"/>
                <w:sz w:val="20"/>
              </w:rPr>
              <w:t>】</w:t>
            </w:r>
          </w:p>
        </w:tc>
        <w:tc>
          <w:tcPr>
            <w:tcW w:w="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0"/>
              </w:rPr>
            </w:pPr>
          </w:p>
        </w:tc>
        <w:tc>
          <w:tcPr>
            <w:tcW w:w="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0"/>
              </w:rPr>
            </w:pPr>
          </w:p>
        </w:tc>
      </w:tr>
    </w:tbl>
    <w:p>
      <w:pPr>
        <w:pStyle w:val="0"/>
        <w:suppressAutoHyphens w:val="1"/>
        <w:kinsoku w:val="0"/>
        <w:wordWrap w:val="0"/>
        <w:autoSpaceDE w:val="0"/>
        <w:autoSpaceDN w:val="0"/>
        <w:spacing w:line="366" w:lineRule="atLeast"/>
        <w:ind w:left="584" w:hanging="584" w:hangingChars="292"/>
        <w:jc w:val="left"/>
        <w:rPr>
          <w:rFonts w:hint="default" w:ascii="ＭＳ ゴシック" w:hAnsi="ＭＳ ゴシック" w:eastAsia="ＭＳ ゴシック"/>
          <w:sz w:val="20"/>
        </w:rPr>
      </w:pPr>
    </w:p>
    <w:p>
      <w:pPr>
        <w:pStyle w:val="0"/>
        <w:suppressAutoHyphens w:val="1"/>
        <w:kinsoku w:val="0"/>
        <w:wordWrap w:val="0"/>
        <w:autoSpaceDE w:val="0"/>
        <w:autoSpaceDN w:val="0"/>
        <w:spacing w:line="366" w:lineRule="atLeast"/>
        <w:ind w:left="584" w:hanging="584" w:hangingChars="292"/>
        <w:jc w:val="left"/>
        <w:rPr>
          <w:rFonts w:hint="default" w:ascii="ＭＳ ゴシック" w:hAnsi="ＭＳ ゴシック" w:eastAsia="ＭＳ ゴシック"/>
          <w:sz w:val="20"/>
        </w:rPr>
      </w:pPr>
      <w:r>
        <w:rPr>
          <w:rFonts w:hint="eastAsia" w:ascii="ＭＳ ゴシック" w:hAnsi="ＭＳ ゴシック" w:eastAsia="ＭＳ ゴシック"/>
          <w:sz w:val="20"/>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pPr>
        <w:pStyle w:val="0"/>
        <w:widowControl w:val="1"/>
        <w:ind w:right="1210"/>
        <w:rPr>
          <w:rFonts w:hint="default" w:ascii="ＭＳ ゴシック" w:hAnsi="ＭＳ ゴシック" w:eastAsia="ＭＳ ゴシック"/>
          <w:sz w:val="20"/>
        </w:rPr>
      </w:pPr>
    </w:p>
    <w:p>
      <w:pPr>
        <w:pStyle w:val="0"/>
        <w:rPr>
          <w:rFonts w:hint="default"/>
          <w:sz w:val="20"/>
        </w:rPr>
      </w:pP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7"/>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0"/>
    <w:uiPriority w:val="0"/>
    <w:rPr>
      <w:rFonts w:ascii="Century" w:hAnsi="Century" w:eastAsia="ＭＳ 明朝"/>
    </w:rPr>
  </w:style>
  <w:style w:type="character" w:styleId="17" w:customStyle="1">
    <w:name w:val="結語 (文字)1"/>
    <w:next w:val="17"/>
    <w:link w:val="15"/>
    <w:uiPriority w:val="0"/>
    <w:rPr>
      <w:rFonts w:ascii="ＭＳ ゴシック" w:hAnsi="ＭＳ ゴシック" w:eastAsia="ＭＳ ゴシック"/>
      <w:color w:val="000000"/>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22</Words>
  <Characters>1586</Characters>
  <Application>JUST Note</Application>
  <Lines>160</Lines>
  <Paragraphs>104</Paragraphs>
  <Company>南丹市役所</Company>
  <CharactersWithSpaces>2271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2020-03-03T07:03:00Z</cp:lastPrinted>
  <dcterms:created xsi:type="dcterms:W3CDTF">2020-02-10T07:16:00Z</dcterms:created>
  <dcterms:modified xsi:type="dcterms:W3CDTF">2020-04-01T08:16:18Z</dcterms:modified>
  <cp:revision>4</cp:revision>
</cp:coreProperties>
</file>