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3342" w:type="dxa"/>
        <w:jc w:val="left"/>
        <w:tblInd w:w="7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2"/>
      </w:tblGrid>
      <w:tr>
        <w:trPr>
          <w:trHeight w:val="400" w:hRule="atLeast"/>
        </w:trPr>
        <w:tc>
          <w:tcPr>
            <w:tcW w:w="3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ＭＳ ゴシック" w:hAnsi="ＭＳ ゴシック" w:eastAsia="ＭＳ ゴシック"/>
              </w:rPr>
              <w:t>認定権者記載欄</w:t>
            </w:r>
          </w:p>
        </w:tc>
      </w:tr>
      <w:tr>
        <w:trPr>
          <w:trHeight w:val="273" w:hRule="atLeast"/>
        </w:trPr>
        <w:tc>
          <w:tcPr>
            <w:tcW w:w="33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21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様式第５－（ロ）－②</w:t>
      </w:r>
    </w:p>
    <w:tbl>
      <w:tblPr>
        <w:tblStyle w:val="11"/>
        <w:tblW w:w="0" w:type="auto"/>
        <w:jc w:val="left"/>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0035"/>
      </w:tblGrid>
      <w:tr>
        <w:trPr/>
        <w:tc>
          <w:tcPr>
            <w:tcW w:w="10035" w:type="dxa"/>
            <w:tcBorders>
              <w:top w:val="nil"/>
              <w:left w:val="nil"/>
              <w:bottom w:val="nil"/>
              <w:right w:val="nil"/>
              <w:tl2br w:val="nil"/>
              <w:tr2bl w:val="nil"/>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中小企業信用保険法第２条第５項第５号の規定による認定申請書（ロ－②）</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令和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南　丹　市　長　様</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pacing w:line="240" w:lineRule="exact"/>
              <w:ind w:right="876" w:rightChars="417" w:firstLine="5180" w:firstLineChars="3700"/>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（名称及び代表者の氏名）</w:t>
            </w:r>
          </w:p>
          <w:p>
            <w:pPr>
              <w:pStyle w:val="0"/>
              <w:suppressAutoHyphens w:val="1"/>
              <w:kinsoku w:val="0"/>
              <w:overflowPunct w:val="0"/>
              <w:autoSpaceDE w:val="0"/>
              <w:autoSpaceDN w:val="0"/>
              <w:adjustRightInd w:val="0"/>
              <w:spacing w:line="240" w:lineRule="exact"/>
              <w:ind w:right="876" w:rightChars="417" w:firstLine="8954" w:firstLineChars="37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印</w:t>
            </w:r>
          </w:p>
          <w:p>
            <w:pPr>
              <w:pStyle w:val="0"/>
              <w:suppressAutoHyphens w:val="1"/>
              <w:kinsoku w:val="0"/>
              <w:wordWrap w:val="0"/>
              <w:overflowPunct w:val="0"/>
              <w:autoSpaceDE w:val="0"/>
              <w:autoSpaceDN w:val="0"/>
              <w:adjustRightInd w:val="0"/>
              <w:spacing w:line="230" w:lineRule="exact"/>
              <w:ind w:firstLine="530" w:firstLineChars="25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sz w:val="18"/>
              </w:rPr>
              <w:t>（注</w:t>
            </w:r>
            <w:r>
              <w:rPr>
                <w:rFonts w:hint="eastAsia" w:ascii="ＭＳ ゴシック" w:hAnsi="ＭＳ ゴシック" w:eastAsia="ＭＳ ゴシック"/>
                <w:color w:val="000000"/>
                <w:spacing w:val="16"/>
                <w:kern w:val="0"/>
                <w:sz w:val="18"/>
              </w:rPr>
              <w:t>2</w:t>
            </w:r>
            <w:r>
              <w:rPr>
                <w:rFonts w:hint="eastAsia" w:ascii="ＭＳ ゴシック" w:hAnsi="ＭＳ ゴシック" w:eastAsia="ＭＳ ゴシック"/>
                <w:color w:val="000000"/>
                <w:spacing w:val="16"/>
                <w:kern w:val="0"/>
                <w:sz w:val="18"/>
              </w:rPr>
              <w:t>）</w:t>
            </w:r>
          </w:p>
          <w:p>
            <w:pPr>
              <w:pStyle w:val="0"/>
              <w:suppressAutoHyphens w:val="1"/>
              <w:kinsoku w:val="0"/>
              <w:wordWrap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auto"/>
              </w:rPr>
              <w:t>　　　　　　　　　　　業</w:t>
            </w:r>
            <w:r>
              <w:rPr>
                <w:rFonts w:hint="eastAsia" w:ascii="ＭＳ ゴシック" w:hAnsi="ＭＳ ゴシック" w:eastAsia="ＭＳ ゴシック"/>
                <w:color w:val="000000"/>
                <w:kern w:val="0"/>
              </w:rPr>
              <w:t>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21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①原油等の仕入単価の上昇（注３）</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主たる業種に係る上昇率</w:t>
            </w:r>
            <w:r>
              <w:rPr>
                <w:rFonts w:hint="eastAsia"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全体に係る上昇率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主たる業種に係る平均仕入単価　　　　円</w:t>
            </w:r>
          </w:p>
          <w:p>
            <w:pPr>
              <w:pStyle w:val="0"/>
              <w:suppressAutoHyphens w:val="1"/>
              <w:kinsoku w:val="0"/>
              <w:overflowPunct w:val="0"/>
              <w:autoSpaceDE w:val="0"/>
              <w:autoSpaceDN w:val="0"/>
              <w:adjustRightInd w:val="0"/>
              <w:spacing w:line="240" w:lineRule="exact"/>
              <w:ind w:firstLine="5324" w:firstLineChars="220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u w:val="single" w:color="auto"/>
              </w:rPr>
              <w:t>全体に係る平均仕入単価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主たる業種に係る平均仕入単価　　円</w:t>
            </w:r>
          </w:p>
          <w:p>
            <w:pPr>
              <w:pStyle w:val="0"/>
              <w:suppressAutoHyphens w:val="1"/>
              <w:kinsoku w:val="0"/>
              <w:overflowPunct w:val="0"/>
              <w:autoSpaceDE w:val="0"/>
              <w:autoSpaceDN w:val="0"/>
              <w:adjustRightInd w:val="0"/>
              <w:spacing w:line="240" w:lineRule="exact"/>
              <w:ind w:firstLine="5808" w:firstLineChars="240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u w:val="single" w:color="auto"/>
              </w:rPr>
              <w:t>全体に係る平均仕入単価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②原油等が売上原価に占める割合（注３）</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主たる業種に係る依存率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全体に係る依存率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Ｃ：申込時点における最新の売上原価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主たる業種に係る売上原価</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全体にかかる売上原価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主たる業種に係る仕入れ価格</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全体に係る仕入れ価格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③製品等価格への転嫁の状況（注４）</w:t>
            </w:r>
          </w:p>
          <w:p>
            <w:pPr>
              <w:pStyle w:val="0"/>
              <w:tabs>
                <w:tab w:val="center" w:leader="none" w:pos="4252"/>
                <w:tab w:val="right" w:leader="none" w:pos="8504"/>
              </w:tabs>
              <w:suppressAutoHyphens w:val="1"/>
              <w:kinsoku w:val="0"/>
              <w:overflowPunct w:val="0"/>
              <w:autoSpaceDE w:val="0"/>
              <w:autoSpaceDN w:val="0"/>
              <w:adjustRightInd w:val="0"/>
              <w:snapToGrid w:val="0"/>
              <w:spacing w:line="230" w:lineRule="exac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主たる業種に係る転嫁の状況　Ｐ＝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全体に係る転嫁の状況　Ｐ＝</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主たる業種に係る仕入価格</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全体に係る仕入価格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ａ：Ａの期間に対応する前年３か月間の原油等の仕入価格</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主たる業種に係る仕入価格</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全体に係る仕入価格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Ｂ：申込時点における最近３か月間の売上高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主たる業種に係る売上高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全体に係る売上高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ｂ：Ｂの期間に対応する前年３か月間の売上高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主たる業種に係る売上高</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全体に係る売上高　　　　　　　　　　円</w:t>
            </w:r>
          </w:p>
          <w:p>
            <w:pPr>
              <w:pStyle w:val="0"/>
              <w:suppressAutoHyphens w:val="1"/>
              <w:kinsoku w:val="0"/>
              <w:wordWrap w:val="0"/>
              <w:overflowPunct w:val="0"/>
              <w:autoSpaceDE w:val="0"/>
              <w:autoSpaceDN w:val="0"/>
              <w:adjustRightInd w:val="0"/>
              <w:spacing w:line="10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210" w:lineRule="exact"/>
        <w:ind w:left="460" w:leftChars="100" w:hanging="250" w:hangingChars="156"/>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（注１）本様式は、主たる事業（最近１年間の売上高等が最も大きい事業）が属する業種（主たる業種）が指定業種である場合であって、</w:t>
      </w:r>
    </w:p>
    <w:p>
      <w:pPr>
        <w:pStyle w:val="0"/>
        <w:suppressAutoHyphens w:val="1"/>
        <w:spacing w:line="210" w:lineRule="exact"/>
        <w:ind w:left="538" w:leftChars="256" w:firstLine="320" w:firstLineChars="200"/>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主たる業種及び申請者全体の双方が認定基準を満たす場合に使用する。</w:t>
      </w:r>
    </w:p>
    <w:p>
      <w:pPr>
        <w:pStyle w:val="0"/>
        <w:suppressAutoHyphens w:val="1"/>
        <w:spacing w:line="210" w:lineRule="exact"/>
        <w:ind w:left="460" w:leftChars="100" w:hanging="250" w:hangingChars="156"/>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（注２）空欄</w:t>
      </w:r>
      <w:r>
        <w:rPr>
          <w:rFonts w:hint="eastAsia" w:ascii="ＭＳ ゴシック" w:hAnsi="ＭＳ ゴシック" w:eastAsia="ＭＳ ゴシック"/>
          <w:color w:val="000000"/>
          <w:spacing w:val="16"/>
          <w:kern w:val="0"/>
          <w:sz w:val="16"/>
        </w:rPr>
        <w:t>には、主たる事業が属する指定業種（日本標準産業分類の細分類番号と細分類業種名）を記載。</w:t>
      </w:r>
    </w:p>
    <w:p>
      <w:pPr>
        <w:pStyle w:val="0"/>
        <w:suppressAutoHyphens w:val="1"/>
        <w:spacing w:line="210" w:lineRule="exact"/>
        <w:ind w:left="460" w:leftChars="100" w:hanging="250" w:hangingChars="156"/>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（注３）主たる業種及び申請者全体の原油等の仕入単価、売上原価、原油等の仕入価格を記載。上昇率及び依存率が２０％以上となって</w:t>
      </w:r>
    </w:p>
    <w:p>
      <w:pPr>
        <w:pStyle w:val="0"/>
        <w:suppressAutoHyphens w:val="1"/>
        <w:spacing w:line="210" w:lineRule="exact"/>
        <w:ind w:left="538" w:leftChars="256" w:firstLine="320" w:firstLineChars="200"/>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いること。</w:t>
      </w:r>
    </w:p>
    <w:p>
      <w:pPr>
        <w:pStyle w:val="0"/>
        <w:suppressAutoHyphens w:val="1"/>
        <w:spacing w:line="210" w:lineRule="exact"/>
        <w:ind w:left="460" w:leftChars="100" w:hanging="250" w:hangingChars="156"/>
        <w:jc w:val="left"/>
        <w:textAlignment w:val="baseline"/>
        <w:rPr>
          <w:rFonts w:hint="default" w:ascii="ＭＳ ゴシック" w:hAnsi="ＭＳ ゴシック" w:eastAsia="ＭＳ ゴシック"/>
          <w:color w:val="000000"/>
          <w:spacing w:val="16"/>
          <w:kern w:val="0"/>
          <w:sz w:val="16"/>
        </w:rPr>
      </w:pPr>
      <w:r>
        <w:rPr>
          <w:rFonts w:hint="eastAsia" w:ascii="ＭＳ ゴシック" w:hAnsi="ＭＳ ゴシック" w:eastAsia="ＭＳ ゴシック"/>
          <w:color w:val="000000"/>
          <w:kern w:val="0"/>
          <w:sz w:val="16"/>
        </w:rPr>
        <w:t>（注４）主たる業種及び申請者全体の原油等の仕入価格、売上高を記載。Ｐ＞０となっていること。</w:t>
      </w:r>
    </w:p>
    <w:p>
      <w:pPr>
        <w:pStyle w:val="0"/>
        <w:suppressAutoHyphens w:val="1"/>
        <w:spacing w:line="210" w:lineRule="exact"/>
        <w:ind w:left="460" w:leftChars="100" w:hanging="250" w:hangingChars="156"/>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（留意事項）</w:t>
      </w:r>
    </w:p>
    <w:p>
      <w:pPr>
        <w:pStyle w:val="0"/>
        <w:suppressAutoHyphens w:val="1"/>
        <w:spacing w:line="210" w:lineRule="exact"/>
        <w:ind w:left="510" w:leftChars="200" w:hanging="90" w:hangingChars="56"/>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①　本認定とは別に、金融機関及び信用保証協会による金融上の審査があります。</w:t>
      </w:r>
    </w:p>
    <w:p>
      <w:pPr>
        <w:pStyle w:val="0"/>
        <w:suppressAutoHyphens w:val="1"/>
        <w:spacing w:line="210" w:lineRule="exact"/>
        <w:ind w:left="510" w:leftChars="200" w:hanging="90" w:hangingChars="56"/>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②</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市町村長又は特別区長から認定を受けた後、本認定の有効期間内に金融機関又は信用保証協会に対して、経営安定関連保証の申込みを</w:t>
      </w:r>
    </w:p>
    <w:p>
      <w:pPr>
        <w:pStyle w:val="0"/>
        <w:suppressAutoHyphens w:val="1"/>
        <w:spacing w:line="210" w:lineRule="exact"/>
        <w:ind w:left="538" w:leftChars="200" w:hanging="118" w:hangingChars="56"/>
        <w:jc w:val="left"/>
        <w:textAlignment w:val="baseline"/>
        <w:rPr>
          <w:rFonts w:hint="default" w:ascii="ＭＳ ゴシック" w:hAnsi="ＭＳ ゴシック" w:eastAsia="ＭＳ ゴシック"/>
          <w:color w:val="000000"/>
          <w:kern w:val="0"/>
          <w:sz w:val="16"/>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194945</wp:posOffset>
                </wp:positionH>
                <wp:positionV relativeFrom="paragraph">
                  <wp:posOffset>105410</wp:posOffset>
                </wp:positionV>
                <wp:extent cx="6286500" cy="1838325"/>
                <wp:effectExtent l="0" t="0" r="635" b="635"/>
                <wp:wrapNone/>
                <wp:docPr id="1026" name="Rectangle 3"/>
                <a:graphic xmlns:a="http://schemas.openxmlformats.org/drawingml/2006/main">
                  <a:graphicData uri="http://schemas.microsoft.com/office/word/2010/wordprocessingShape">
                    <wps:wsp>
                      <wps:cNvPr id="1026" name="Rectangle 3"/>
                      <wps:cNvSpPr>
                        <a:spLocks noChangeArrowheads="1"/>
                      </wps:cNvSpPr>
                      <wps:spPr>
                        <a:xfrm>
                          <a:off x="0" y="0"/>
                          <a:ext cx="6286500" cy="1838325"/>
                        </a:xfrm>
                        <a:prstGeom prst="rect">
                          <a:avLst/>
                        </a:prstGeom>
                        <a:noFill/>
                        <a:ln w="9525">
                          <a:noFill/>
                          <a:miter lim="800000"/>
                          <a:headEnd/>
                          <a:tailEnd/>
                        </a:ln>
                      </wps:spPr>
                      <wps:txbx>
                        <w:txbxContent>
                          <w:p>
                            <w:pPr>
                              <w:pStyle w:val="0"/>
                              <w:spacing w:line="220" w:lineRule="exact"/>
                              <w:ind w:firstLine="210" w:firstLineChars="100"/>
                              <w:rPr>
                                <w:rFonts w:hint="default"/>
                              </w:rPr>
                            </w:pPr>
                          </w:p>
                          <w:p>
                            <w:pPr>
                              <w:pStyle w:val="0"/>
                              <w:spacing w:line="220" w:lineRule="exact"/>
                              <w:ind w:firstLine="220" w:firstLineChars="100"/>
                              <w:jc w:val="right"/>
                              <w:rPr>
                                <w:rFonts w:hint="default" w:ascii="ＭＳ ゴシック" w:hAnsi="ＭＳ ゴシック" w:eastAsia="ＭＳ ゴシック"/>
                                <w:sz w:val="22"/>
                              </w:rPr>
                            </w:pPr>
                            <w:r>
                              <w:rPr>
                                <w:rFonts w:hint="eastAsia" w:ascii="ＭＳ ゴシック" w:hAnsi="ＭＳ ゴシック" w:eastAsia="ＭＳ ゴシック"/>
                                <w:sz w:val="22"/>
                              </w:rPr>
                              <w:t>南農商観第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号</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　令和　　年　　月　　日</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申請のとおり、相違ないことを認定します。</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本認定書の有効期間</w:t>
                            </w:r>
                            <w:r>
                              <w:rPr>
                                <w:rFonts w:hint="eastAsia" w:ascii="ＭＳ ゴシック" w:hAnsi="ＭＳ ゴシック" w:eastAsia="ＭＳ ゴシック"/>
                                <w:sz w:val="22"/>
                              </w:rPr>
                              <w:t>:</w:t>
                            </w:r>
                            <w:r>
                              <w:rPr>
                                <w:rFonts w:hint="eastAsia" w:ascii="ＭＳ ゴシック" w:hAnsi="ＭＳ ゴシック" w:eastAsia="ＭＳ ゴシック"/>
                                <w:sz w:val="22"/>
                              </w:rPr>
                              <w:t>令和　　年　　月　　日から令和　　年　　月　　日まで</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sz w:val="22"/>
                              </w:rPr>
                              <w:t>南丹市長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印</w:t>
                            </w:r>
                            <w:bookmarkStart w:id="0" w:name="_GoBack"/>
                            <w:bookmarkEnd w:id="0"/>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8.3000000000000007pt;mso-position-vertical-relative:text;mso-position-horizontal-relative:text;v-text-anchor:top;position:absolute;height:144.75pt;mso-wrap-distance-top:0pt;width:495pt;mso-wrap-distance-left:9pt;margin-left:15.35pt;z-index:2;" o:spid="_x0000_s1026" o:allowincell="t" o:allowoverlap="t" filled="f" stroked="f" strokeweight="0.75pt" o:spt="1">
                <v:fill/>
                <v:stroke miterlimit="8"/>
                <v:textbox style="layout-flow:horizontal;" inset="2.0637499999999998mm,0.24694444444444438mm,2.0637499999999998mm,0.24694444444444438mm">
                  <w:txbxContent>
                    <w:p>
                      <w:pPr>
                        <w:pStyle w:val="0"/>
                        <w:spacing w:line="220" w:lineRule="exact"/>
                        <w:ind w:firstLine="210" w:firstLineChars="100"/>
                        <w:rPr>
                          <w:rFonts w:hint="default"/>
                        </w:rPr>
                      </w:pPr>
                    </w:p>
                    <w:p>
                      <w:pPr>
                        <w:pStyle w:val="0"/>
                        <w:spacing w:line="220" w:lineRule="exact"/>
                        <w:ind w:firstLine="220" w:firstLineChars="100"/>
                        <w:jc w:val="right"/>
                        <w:rPr>
                          <w:rFonts w:hint="default" w:ascii="ＭＳ ゴシック" w:hAnsi="ＭＳ ゴシック" w:eastAsia="ＭＳ ゴシック"/>
                          <w:sz w:val="22"/>
                        </w:rPr>
                      </w:pPr>
                      <w:r>
                        <w:rPr>
                          <w:rFonts w:hint="eastAsia" w:ascii="ＭＳ ゴシック" w:hAnsi="ＭＳ ゴシック" w:eastAsia="ＭＳ ゴシック"/>
                          <w:sz w:val="22"/>
                        </w:rPr>
                        <w:t>南農商観第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号</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　令和　　年　　月　　日</w:t>
                      </w:r>
                    </w:p>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申請のとおり、相違ないことを認定します。</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本認定書の有効期間</w:t>
                      </w:r>
                      <w:r>
                        <w:rPr>
                          <w:rFonts w:hint="eastAsia" w:ascii="ＭＳ ゴシック" w:hAnsi="ＭＳ ゴシック" w:eastAsia="ＭＳ ゴシック"/>
                          <w:sz w:val="22"/>
                        </w:rPr>
                        <w:t>:</w:t>
                      </w:r>
                      <w:r>
                        <w:rPr>
                          <w:rFonts w:hint="eastAsia" w:ascii="ＭＳ ゴシック" w:hAnsi="ＭＳ ゴシック" w:eastAsia="ＭＳ ゴシック"/>
                          <w:sz w:val="22"/>
                        </w:rPr>
                        <w:t>令和　　年　　月　　日から令和　　年　　月　　日まで</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sz w:val="22"/>
                        </w:rPr>
                        <w:t>南丹市長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印</w:t>
                      </w:r>
                      <w:bookmarkStart w:id="1" w:name="_GoBack"/>
                      <w:bookmarkEnd w:id="1"/>
                    </w:p>
                  </w:txbxContent>
                </v:textbox>
                <v:imagedata o:title=""/>
                <w10:wrap type="none" anchorx="text" anchory="text"/>
              </v:rect>
            </w:pict>
          </mc:Fallback>
        </mc:AlternateConten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行うことが必要です。</w:t>
      </w:r>
    </w:p>
    <w:p>
      <w:pPr>
        <w:pStyle w:val="0"/>
        <w:suppressAutoHyphens w:val="1"/>
        <w:spacing w:line="210" w:lineRule="exact"/>
        <w:ind w:left="0" w:leftChars="0" w:firstLine="320" w:firstLineChars="200"/>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　</w:t>
      </w:r>
    </w:p>
    <w:p>
      <w:pPr>
        <w:pStyle w:val="0"/>
        <w:widowControl w:val="1"/>
        <w:spacing w:line="300" w:lineRule="exact"/>
        <w:ind w:left="540" w:hanging="540" w:hangingChars="257"/>
        <w:jc w:val="righ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rPr>
        <w:br w:type="page"/>
      </w:r>
      <w:r>
        <w:rPr>
          <w:rFonts w:hint="eastAsia" w:ascii="ＭＳ ゴシック" w:hAnsi="ＭＳ ゴシック" w:eastAsia="ＭＳ ゴシック"/>
          <w:color w:val="000000"/>
          <w:kern w:val="0"/>
          <w:sz w:val="20"/>
        </w:rPr>
        <w:t>（申請書ロ－②の添付書類）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u w:val="single" w:color="auto"/>
        </w:rPr>
      </w:pPr>
      <w:r>
        <w:rPr>
          <w:rFonts w:hint="eastAsia" w:ascii="ＭＳ ゴシック" w:hAnsi="ＭＳ ゴシック" w:eastAsia="ＭＳ ゴシック"/>
          <w:sz w:val="20"/>
          <w:u w:val="single" w:color="auto"/>
        </w:rPr>
        <w:t>申請者名：　　　　　　　　　　　　　</w:t>
      </w:r>
    </w:p>
    <w:p>
      <w:pPr>
        <w:pStyle w:val="0"/>
        <w:widowControl w:val="1"/>
        <w:jc w:val="left"/>
        <w:rPr>
          <w:rFonts w:hint="default" w:ascii="ＭＳ ゴシック" w:hAnsi="ＭＳ ゴシック" w:eastAsia="ＭＳ ゴシック"/>
          <w:sz w:val="20"/>
        </w:rPr>
      </w:pPr>
    </w:p>
    <w:p>
      <w:pPr>
        <w:pStyle w:val="0"/>
        <w:widowControl w:val="1"/>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（表１：事業が属する業種毎の最近１年間の売上高）</w:t>
      </w:r>
    </w:p>
    <w:p>
      <w:pPr>
        <w:pStyle w:val="0"/>
        <w:widowControl w:val="1"/>
        <w:ind w:firstLine="400" w:firstLineChars="200"/>
        <w:jc w:val="left"/>
        <w:rPr>
          <w:rFonts w:hint="default" w:ascii="ＭＳ ゴシック" w:hAnsi="ＭＳ ゴシック" w:eastAsia="ＭＳ ゴシック"/>
          <w:sz w:val="20"/>
        </w:rPr>
      </w:pPr>
      <w:r>
        <w:rPr>
          <w:rFonts w:hint="eastAsia" w:ascii="ＭＳ ゴシック" w:hAnsi="ＭＳ ゴシック" w:eastAsia="ＭＳ ゴシック"/>
          <w:sz w:val="20"/>
        </w:rPr>
        <w:t>当社の主たる事業が属する業種は＿＿＿＿＿＿＿＿＿＿＿（※１）</w:t>
      </w:r>
    </w:p>
    <w:tbl>
      <w:tblPr>
        <w:tblStyle w:val="11"/>
        <w:tblW w:w="97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56"/>
        <w:gridCol w:w="3256"/>
        <w:gridCol w:w="3256"/>
      </w:tblGrid>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業種（※２）</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最近１年間の売上高</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構成比</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0"/>
              </w:rPr>
            </w:pPr>
            <w:r>
              <w:rPr>
                <w:rFonts w:hint="eastAsia" w:ascii="ＭＳ ゴシック" w:hAnsi="ＭＳ ゴシック" w:eastAsia="ＭＳ ゴシック"/>
                <w:sz w:val="20"/>
              </w:rPr>
              <w:t>　　　　　　　　　　　業</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0"/>
              </w:rPr>
            </w:pPr>
            <w:r>
              <w:rPr>
                <w:rFonts w:hint="eastAsia" w:ascii="ＭＳ ゴシック" w:hAnsi="ＭＳ ゴシック" w:eastAsia="ＭＳ ゴシック"/>
                <w:sz w:val="20"/>
              </w:rPr>
              <w:t>　　　　　　　　　　　業</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0"/>
              </w:rPr>
            </w:pPr>
            <w:r>
              <w:rPr>
                <w:rFonts w:hint="eastAsia" w:ascii="ＭＳ ゴシック" w:hAnsi="ＭＳ ゴシック" w:eastAsia="ＭＳ ゴシック"/>
                <w:sz w:val="20"/>
              </w:rPr>
              <w:t>　　　　　　　　　　　業</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0"/>
              </w:rPr>
            </w:pPr>
            <w:r>
              <w:rPr>
                <w:rFonts w:hint="eastAsia" w:ascii="ＭＳ ゴシック" w:hAnsi="ＭＳ ゴシック" w:eastAsia="ＭＳ ゴシック"/>
                <w:sz w:val="20"/>
              </w:rPr>
              <w:t>　　　　　　　　　　　業</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w:t>
            </w:r>
          </w:p>
        </w:tc>
      </w:tr>
      <w:tr>
        <w:trPr/>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sz w:val="20"/>
              </w:rPr>
            </w:pPr>
            <w:r>
              <w:rPr>
                <w:rFonts w:hint="eastAsia" w:ascii="ＭＳ ゴシック" w:hAnsi="ＭＳ ゴシック" w:eastAsia="ＭＳ ゴシック"/>
                <w:sz w:val="20"/>
              </w:rPr>
              <w:t>全体の売上高</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tc>
        <w:tc>
          <w:tcPr>
            <w:tcW w:w="32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0"/>
              </w:rPr>
            </w:pPr>
            <w:r>
              <w:rPr>
                <w:rFonts w:hint="eastAsia" w:ascii="ＭＳ ゴシック" w:hAnsi="ＭＳ ゴシック" w:eastAsia="ＭＳ ゴシック"/>
                <w:sz w:val="20"/>
              </w:rPr>
              <w:t>100</w:t>
            </w:r>
            <w:r>
              <w:rPr>
                <w:rFonts w:hint="eastAsia" w:ascii="ＭＳ ゴシック" w:hAnsi="ＭＳ ゴシック" w:eastAsia="ＭＳ ゴシック"/>
                <w:sz w:val="20"/>
              </w:rPr>
              <w:t>％</w:t>
            </w:r>
          </w:p>
        </w:tc>
      </w:tr>
    </w:tbl>
    <w:p>
      <w:pPr>
        <w:pStyle w:val="0"/>
        <w:widowControl w:val="1"/>
        <w:ind w:left="584" w:hanging="584" w:hangingChars="292"/>
        <w:jc w:val="left"/>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※１：最近１年間の売上高が最大の業種名（主たる業種）を記載。主たる業種は指定業種であることが必要。</w:t>
      </w:r>
    </w:p>
    <w:p>
      <w:pPr>
        <w:pStyle w:val="0"/>
        <w:widowControl w:val="1"/>
        <w:ind w:firstLine="400" w:firstLineChars="200"/>
        <w:jc w:val="left"/>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sz w:val="20"/>
        </w:rPr>
        <w:t>※２：業種欄には、</w:t>
      </w:r>
      <w:r>
        <w:rPr>
          <w:rFonts w:hint="eastAsia" w:ascii="ＭＳ ゴシック" w:hAnsi="ＭＳ ゴシック" w:eastAsia="ＭＳ ゴシック"/>
          <w:color w:val="000000"/>
          <w:spacing w:val="16"/>
          <w:kern w:val="0"/>
          <w:sz w:val="20"/>
        </w:rPr>
        <w:t>日本標準産業分類の細分類番号と細分類業種名を記載。</w:t>
      </w:r>
    </w:p>
    <w:p>
      <w:pPr>
        <w:pStyle w:val="0"/>
        <w:suppressAutoHyphens w:val="1"/>
        <w:kinsoku w:val="0"/>
        <w:wordWrap w:val="0"/>
        <w:autoSpaceDE w:val="0"/>
        <w:autoSpaceDN w:val="0"/>
        <w:spacing w:before="180" w:beforeLines="50" w:beforeAutospacing="0" w:line="366" w:lineRule="atLeast"/>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（表２：主たる業種及び企業全体それぞれに係る原油等の仕入単価の上昇）</w:t>
      </w: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97"/>
        <w:gridCol w:w="2463"/>
        <w:gridCol w:w="2463"/>
        <w:gridCol w:w="2463"/>
      </w:tblGrid>
      <w:tr>
        <w:trPr/>
        <w:tc>
          <w:tcPr>
            <w:tcW w:w="2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p>
        </w:tc>
        <w:tc>
          <w:tcPr>
            <w:tcW w:w="2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原油等の最近１か月の平均仕入単価</w:t>
            </w:r>
          </w:p>
        </w:tc>
        <w:tc>
          <w:tcPr>
            <w:tcW w:w="2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原油等の前年同月の平均仕入単価</w:t>
            </w:r>
          </w:p>
        </w:tc>
        <w:tc>
          <w:tcPr>
            <w:tcW w:w="2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原油等の仕入単価の上昇率</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E/</w:t>
            </w:r>
            <w:r>
              <w:rPr>
                <w:rFonts w:hint="eastAsia" w:ascii="ＭＳ ゴシック" w:hAnsi="ＭＳ ゴシック" w:eastAsia="ＭＳ ゴシック"/>
                <w:sz w:val="20"/>
              </w:rPr>
              <w:t>ｅ×</w:t>
            </w:r>
            <w:r>
              <w:rPr>
                <w:rFonts w:hint="eastAsia" w:ascii="ＭＳ ゴシック" w:hAnsi="ＭＳ ゴシック" w:eastAsia="ＭＳ ゴシック"/>
                <w:sz w:val="20"/>
              </w:rPr>
              <w:t>100</w:t>
            </w:r>
            <w:r>
              <w:rPr>
                <w:rFonts w:hint="eastAsia" w:ascii="ＭＳ ゴシック" w:hAnsi="ＭＳ ゴシック" w:eastAsia="ＭＳ ゴシック"/>
                <w:sz w:val="20"/>
              </w:rPr>
              <w:t>－</w:t>
            </w:r>
            <w:r>
              <w:rPr>
                <w:rFonts w:hint="eastAsia" w:ascii="ＭＳ ゴシック" w:hAnsi="ＭＳ ゴシック" w:eastAsia="ＭＳ ゴシック"/>
                <w:sz w:val="20"/>
              </w:rPr>
              <w:t>100</w:t>
            </w:r>
            <w:r>
              <w:rPr>
                <w:rFonts w:hint="eastAsia" w:ascii="ＭＳ ゴシック" w:hAnsi="ＭＳ ゴシック" w:eastAsia="ＭＳ ゴシック"/>
                <w:sz w:val="20"/>
              </w:rPr>
              <w:t>）</w:t>
            </w:r>
          </w:p>
        </w:tc>
      </w:tr>
      <w:tr>
        <w:trPr/>
        <w:tc>
          <w:tcPr>
            <w:tcW w:w="2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主たる業種</w:t>
            </w:r>
          </w:p>
        </w:tc>
        <w:tc>
          <w:tcPr>
            <w:tcW w:w="2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円【Ｅ】</w:t>
            </w:r>
          </w:p>
        </w:tc>
        <w:tc>
          <w:tcPr>
            <w:tcW w:w="2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円【ｅ】</w:t>
            </w:r>
          </w:p>
        </w:tc>
        <w:tc>
          <w:tcPr>
            <w:tcW w:w="2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w:t>
            </w:r>
          </w:p>
        </w:tc>
      </w:tr>
      <w:tr>
        <w:trPr/>
        <w:tc>
          <w:tcPr>
            <w:tcW w:w="2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全体</w:t>
            </w:r>
          </w:p>
        </w:tc>
        <w:tc>
          <w:tcPr>
            <w:tcW w:w="2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円【Ｅ】</w:t>
            </w:r>
          </w:p>
        </w:tc>
        <w:tc>
          <w:tcPr>
            <w:tcW w:w="2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円【ｅ】</w:t>
            </w:r>
          </w:p>
        </w:tc>
        <w:tc>
          <w:tcPr>
            <w:tcW w:w="2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w:t>
            </w:r>
          </w:p>
        </w:tc>
      </w:tr>
    </w:tbl>
    <w:p>
      <w:pPr>
        <w:pStyle w:val="0"/>
        <w:suppressAutoHyphens w:val="1"/>
        <w:kinsoku w:val="0"/>
        <w:wordWrap w:val="0"/>
        <w:autoSpaceDE w:val="0"/>
        <w:autoSpaceDN w:val="0"/>
        <w:spacing w:before="180" w:beforeLines="50" w:beforeAutospacing="0"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（表３：主たる業種及び全体それぞれの売上原価に占める原油等の仕入価格の割合</w:t>
      </w:r>
      <w:r>
        <w:rPr>
          <w:rFonts w:hint="eastAsia" w:ascii="ＭＳ ゴシック" w:hAnsi="ＭＳ ゴシック" w:eastAsia="ＭＳ ゴシック"/>
          <w:color w:val="000000"/>
          <w:kern w:val="0"/>
          <w:sz w:val="20"/>
        </w:rPr>
        <w:t>）</w:t>
      </w: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62"/>
        <w:gridCol w:w="2260"/>
        <w:gridCol w:w="2766"/>
        <w:gridCol w:w="2698"/>
      </w:tblGrid>
      <w:tr>
        <w:trPr>
          <w:trHeight w:val="1147" w:hRule="atLeast"/>
        </w:trPr>
        <w:tc>
          <w:tcPr>
            <w:tcW w:w="20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sz w:val="20"/>
              </w:rPr>
            </w:pPr>
          </w:p>
        </w:tc>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最新の売上原価</w:t>
            </w:r>
          </w:p>
          <w:p>
            <w:pPr>
              <w:pStyle w:val="0"/>
              <w:jc w:val="center"/>
              <w:rPr>
                <w:rFonts w:hint="default" w:ascii="ＭＳ ゴシック" w:hAnsi="ＭＳ ゴシック" w:eastAsia="ＭＳ ゴシック"/>
                <w:sz w:val="20"/>
              </w:rPr>
            </w:pPr>
          </w:p>
        </w:tc>
        <w:tc>
          <w:tcPr>
            <w:tcW w:w="2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最新の売上原価に対応する原油等の仕入価格</w:t>
            </w:r>
          </w:p>
        </w:tc>
        <w:tc>
          <w:tcPr>
            <w:tcW w:w="2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売上原価に占める原油等の仕入価格の割合</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S/C</w:t>
            </w:r>
            <w:r>
              <w:rPr>
                <w:rFonts w:hint="eastAsia" w:ascii="ＭＳ ゴシック" w:hAnsi="ＭＳ ゴシック" w:eastAsia="ＭＳ ゴシック"/>
                <w:sz w:val="20"/>
              </w:rPr>
              <w:t>×</w:t>
            </w:r>
            <w:r>
              <w:rPr>
                <w:rFonts w:hint="eastAsia" w:ascii="ＭＳ ゴシック" w:hAnsi="ＭＳ ゴシック" w:eastAsia="ＭＳ ゴシック"/>
                <w:sz w:val="20"/>
              </w:rPr>
              <w:t>100</w:t>
            </w:r>
            <w:r>
              <w:rPr>
                <w:rFonts w:hint="eastAsia" w:ascii="ＭＳ ゴシック" w:hAnsi="ＭＳ ゴシック" w:eastAsia="ＭＳ ゴシック"/>
                <w:sz w:val="20"/>
              </w:rPr>
              <w:t>）</w:t>
            </w:r>
          </w:p>
        </w:tc>
      </w:tr>
      <w:tr>
        <w:trPr>
          <w:trHeight w:val="363" w:hRule="atLeast"/>
        </w:trPr>
        <w:tc>
          <w:tcPr>
            <w:tcW w:w="20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主たる業種</w:t>
            </w:r>
          </w:p>
        </w:tc>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円【Ｃ】</w:t>
            </w:r>
          </w:p>
        </w:tc>
        <w:tc>
          <w:tcPr>
            <w:tcW w:w="2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円【Ｓ】</w:t>
            </w:r>
          </w:p>
        </w:tc>
        <w:tc>
          <w:tcPr>
            <w:tcW w:w="2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w:t>
            </w:r>
          </w:p>
        </w:tc>
      </w:tr>
      <w:tr>
        <w:trPr>
          <w:trHeight w:val="363" w:hRule="atLeast"/>
        </w:trPr>
        <w:tc>
          <w:tcPr>
            <w:tcW w:w="20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全体</w:t>
            </w:r>
          </w:p>
        </w:tc>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円【Ｃ】</w:t>
            </w:r>
          </w:p>
        </w:tc>
        <w:tc>
          <w:tcPr>
            <w:tcW w:w="27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円【Ｓ】</w:t>
            </w:r>
          </w:p>
        </w:tc>
        <w:tc>
          <w:tcPr>
            <w:tcW w:w="2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ゴシック" w:hAnsi="ＭＳ ゴシック" w:eastAsia="ＭＳ ゴシック"/>
                <w:sz w:val="20"/>
              </w:rPr>
            </w:pPr>
            <w:r>
              <w:rPr>
                <w:rFonts w:hint="eastAsia" w:ascii="ＭＳ ゴシック" w:hAnsi="ＭＳ ゴシック" w:eastAsia="ＭＳ ゴシック"/>
                <w:sz w:val="20"/>
              </w:rPr>
              <w:t>％</w:t>
            </w: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（注）最新の売上原価及び原油等の仕入価格は、直近の決算期の値でも可。</w:t>
      </w:r>
    </w:p>
    <w:p>
      <w:pPr>
        <w:pStyle w:val="0"/>
        <w:suppressAutoHyphens w:val="1"/>
        <w:kinsoku w:val="0"/>
        <w:wordWrap w:val="0"/>
        <w:autoSpaceDE w:val="0"/>
        <w:autoSpaceDN w:val="0"/>
        <w:spacing w:before="180" w:beforeLines="50" w:beforeAutospacing="0" w:line="366" w:lineRule="atLeast"/>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sz w:val="20"/>
        </w:rPr>
        <w:t>（表４：</w:t>
      </w:r>
      <w:r>
        <w:rPr>
          <w:rFonts w:hint="eastAsia" w:ascii="ＭＳ ゴシック" w:hAnsi="ＭＳ ゴシック" w:eastAsia="ＭＳ ゴシック"/>
          <w:color w:val="000000"/>
          <w:kern w:val="0"/>
          <w:sz w:val="20"/>
        </w:rPr>
        <w:t>主たる業種及び全体それぞれの製品等価格への転嫁の状況）</w:t>
      </w:r>
    </w:p>
    <w:tbl>
      <w:tblPr>
        <w:tblStyle w:val="11"/>
        <w:tblW w:w="9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810"/>
        <w:gridCol w:w="1461"/>
        <w:gridCol w:w="1593"/>
        <w:gridCol w:w="1068"/>
        <w:gridCol w:w="1331"/>
        <w:gridCol w:w="1461"/>
        <w:gridCol w:w="937"/>
        <w:gridCol w:w="919"/>
      </w:tblGrid>
      <w:tr>
        <w:trPr/>
        <w:tc>
          <w:tcPr>
            <w:tcW w:w="8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rPr>
            </w:pPr>
          </w:p>
        </w:tc>
        <w:tc>
          <w:tcPr>
            <w:tcW w:w="1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最近３か月間の原油等の仕入価格</w:t>
            </w:r>
          </w:p>
        </w:tc>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最近３か月間の売上高</w:t>
            </w:r>
          </w:p>
        </w:tc>
        <w:tc>
          <w:tcPr>
            <w:tcW w:w="1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A/B</w:t>
            </w:r>
            <w:r>
              <w:rPr>
                <w:rFonts w:hint="eastAsia" w:ascii="ＭＳ ゴシック" w:hAnsi="ＭＳ ゴシック" w:eastAsia="ＭＳ ゴシック"/>
                <w:sz w:val="20"/>
              </w:rPr>
              <w:t>）</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前年同期の原油等の仕入価格</w:t>
            </w:r>
          </w:p>
        </w:tc>
        <w:tc>
          <w:tcPr>
            <w:tcW w:w="1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前年同期の売上高</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a/b</w:t>
            </w:r>
            <w:r>
              <w:rPr>
                <w:rFonts w:hint="eastAsia" w:ascii="ＭＳ ゴシック" w:hAnsi="ＭＳ ゴシック" w:eastAsia="ＭＳ ゴシック"/>
                <w:sz w:val="20"/>
              </w:rPr>
              <w:t>）</w:t>
            </w: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A/B</w:t>
            </w:r>
            <w:r>
              <w:rPr>
                <w:rFonts w:hint="eastAsia" w:ascii="ＭＳ ゴシック" w:hAnsi="ＭＳ ゴシック" w:eastAsia="ＭＳ ゴシック"/>
                <w:sz w:val="20"/>
              </w:rPr>
              <w:t>）－（</w:t>
            </w:r>
            <w:r>
              <w:rPr>
                <w:rFonts w:hint="eastAsia" w:ascii="ＭＳ ゴシック" w:hAnsi="ＭＳ ゴシック" w:eastAsia="ＭＳ ゴシック"/>
                <w:sz w:val="20"/>
              </w:rPr>
              <w:t>a/b</w:t>
            </w:r>
            <w:r>
              <w:rPr>
                <w:rFonts w:hint="eastAsia" w:ascii="ＭＳ ゴシック" w:hAnsi="ＭＳ ゴシック" w:eastAsia="ＭＳ ゴシック"/>
                <w:sz w:val="20"/>
              </w:rPr>
              <w:t>）＝Ｐ</w:t>
            </w:r>
          </w:p>
        </w:tc>
      </w:tr>
      <w:tr>
        <w:trPr/>
        <w:tc>
          <w:tcPr>
            <w:tcW w:w="8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主たる</w:t>
            </w:r>
          </w:p>
          <w:p>
            <w:pPr>
              <w:pStyle w:val="0"/>
              <w:suppressAutoHyphens w:val="1"/>
              <w:kinsoku w:val="0"/>
              <w:autoSpaceDE w:val="0"/>
              <w:autoSpaceDN w:val="0"/>
              <w:spacing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業種</w:t>
            </w:r>
          </w:p>
        </w:tc>
        <w:tc>
          <w:tcPr>
            <w:tcW w:w="1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A</w:t>
            </w:r>
            <w:r>
              <w:rPr>
                <w:rFonts w:hint="eastAsia" w:ascii="ＭＳ ゴシック" w:hAnsi="ＭＳ ゴシック" w:eastAsia="ＭＳ ゴシック"/>
                <w:sz w:val="20"/>
              </w:rPr>
              <w:t>】</w:t>
            </w:r>
          </w:p>
        </w:tc>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B</w:t>
            </w:r>
            <w:r>
              <w:rPr>
                <w:rFonts w:hint="eastAsia" w:ascii="ＭＳ ゴシック" w:hAnsi="ＭＳ ゴシック" w:eastAsia="ＭＳ ゴシック"/>
                <w:sz w:val="20"/>
              </w:rPr>
              <w:t>】</w:t>
            </w:r>
          </w:p>
        </w:tc>
        <w:tc>
          <w:tcPr>
            <w:tcW w:w="1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a</w:t>
            </w:r>
            <w:r>
              <w:rPr>
                <w:rFonts w:hint="eastAsia" w:ascii="ＭＳ ゴシック" w:hAnsi="ＭＳ ゴシック" w:eastAsia="ＭＳ ゴシック"/>
                <w:sz w:val="20"/>
              </w:rPr>
              <w:t>】</w:t>
            </w:r>
          </w:p>
        </w:tc>
        <w:tc>
          <w:tcPr>
            <w:tcW w:w="1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b</w:t>
            </w:r>
            <w:r>
              <w:rPr>
                <w:rFonts w:hint="eastAsia" w:ascii="ＭＳ ゴシック" w:hAnsi="ＭＳ ゴシック" w:eastAsia="ＭＳ ゴシック"/>
                <w:sz w:val="20"/>
              </w:rPr>
              <w:t>】</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p>
        </w:tc>
      </w:tr>
      <w:tr>
        <w:trPr/>
        <w:tc>
          <w:tcPr>
            <w:tcW w:w="8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0"/>
              </w:rPr>
            </w:pPr>
            <w:r>
              <w:rPr>
                <w:rFonts w:hint="eastAsia" w:ascii="ＭＳ ゴシック" w:hAnsi="ＭＳ ゴシック" w:eastAsia="ＭＳ ゴシック"/>
                <w:sz w:val="20"/>
              </w:rPr>
              <w:t>全体</w:t>
            </w:r>
          </w:p>
        </w:tc>
        <w:tc>
          <w:tcPr>
            <w:tcW w:w="1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A</w:t>
            </w:r>
            <w:r>
              <w:rPr>
                <w:rFonts w:hint="eastAsia" w:ascii="ＭＳ ゴシック" w:hAnsi="ＭＳ ゴシック" w:eastAsia="ＭＳ ゴシック"/>
                <w:sz w:val="20"/>
              </w:rPr>
              <w:t>】</w:t>
            </w:r>
          </w:p>
        </w:tc>
        <w:tc>
          <w:tcPr>
            <w:tcW w:w="1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B</w:t>
            </w:r>
            <w:r>
              <w:rPr>
                <w:rFonts w:hint="eastAsia" w:ascii="ＭＳ ゴシック" w:hAnsi="ＭＳ ゴシック" w:eastAsia="ＭＳ ゴシック"/>
                <w:sz w:val="20"/>
              </w:rPr>
              <w:t>】</w:t>
            </w:r>
          </w:p>
        </w:tc>
        <w:tc>
          <w:tcPr>
            <w:tcW w:w="1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a</w:t>
            </w:r>
            <w:r>
              <w:rPr>
                <w:rFonts w:hint="eastAsia" w:ascii="ＭＳ ゴシック" w:hAnsi="ＭＳ ゴシック" w:eastAsia="ＭＳ ゴシック"/>
                <w:sz w:val="20"/>
              </w:rPr>
              <w:t>】</w:t>
            </w:r>
          </w:p>
        </w:tc>
        <w:tc>
          <w:tcPr>
            <w:tcW w:w="1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b</w:t>
            </w:r>
            <w:r>
              <w:rPr>
                <w:rFonts w:hint="eastAsia" w:ascii="ＭＳ ゴシック" w:hAnsi="ＭＳ ゴシック" w:eastAsia="ＭＳ ゴシック"/>
                <w:sz w:val="20"/>
              </w:rPr>
              <w:t>】</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p>
        </w:tc>
        <w:tc>
          <w:tcPr>
            <w:tcW w:w="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0"/>
              </w:rPr>
            </w:pPr>
          </w:p>
        </w:tc>
      </w:tr>
    </w:tbl>
    <w:p>
      <w:pPr>
        <w:pStyle w:val="0"/>
        <w:suppressAutoHyphens w:val="1"/>
        <w:kinsoku w:val="0"/>
        <w:wordWrap w:val="0"/>
        <w:autoSpaceDE w:val="0"/>
        <w:autoSpaceDN w:val="0"/>
        <w:spacing w:line="366" w:lineRule="atLeast"/>
        <w:ind w:left="584" w:hanging="584" w:hangingChars="292"/>
        <w:jc w:val="left"/>
        <w:rPr>
          <w:rFonts w:hint="default" w:ascii="ＭＳ ゴシック" w:hAnsi="ＭＳ ゴシック" w:eastAsia="ＭＳ ゴシック"/>
          <w:sz w:val="20"/>
        </w:rPr>
      </w:pPr>
    </w:p>
    <w:p>
      <w:pPr>
        <w:pStyle w:val="0"/>
        <w:widowControl w:val="1"/>
        <w:ind w:left="0" w:leftChars="0" w:firstLine="200" w:firstLineChars="100"/>
        <w:jc w:val="left"/>
        <w:rPr>
          <w:rFonts w:hint="default"/>
        </w:rPr>
      </w:pPr>
      <w:r>
        <w:rPr>
          <w:rFonts w:hint="eastAsia" w:ascii="ＭＳ ゴシック" w:hAnsi="ＭＳ ゴシック" w:eastAsia="ＭＳ ゴシック"/>
          <w:sz w:val="20"/>
        </w:rPr>
        <w:t>（注）認定申請にあたっては、主たる業種に属する事業を営んでいることが疎明できる書類等（例えば、取り</w:t>
      </w:r>
    </w:p>
    <w:p>
      <w:pPr>
        <w:pStyle w:val="0"/>
        <w:widowControl w:val="1"/>
        <w:ind w:left="0" w:leftChars="0" w:firstLine="800" w:firstLineChars="400"/>
        <w:jc w:val="left"/>
        <w:rPr>
          <w:rFonts w:hint="default"/>
        </w:rPr>
      </w:pPr>
      <w:r>
        <w:rPr>
          <w:rFonts w:hint="eastAsia" w:ascii="ＭＳ ゴシック" w:hAnsi="ＭＳ ゴシック" w:eastAsia="ＭＳ ゴシック"/>
          <w:sz w:val="20"/>
        </w:rPr>
        <w:t>扱っている製品・サービス等を疎明できる書類、許認可証など）や、</w:t>
      </w:r>
      <w:r>
        <w:rPr>
          <w:rFonts w:hint="eastAsia" w:ascii="ＭＳ ゴシック" w:hAnsi="ＭＳ ゴシック" w:eastAsia="ＭＳ ゴシック"/>
          <w:b w:val="0"/>
          <w:sz w:val="22"/>
        </w:rPr>
        <w:t>上記の原油等の仕入価格、売上</w:t>
      </w:r>
    </w:p>
    <w:p>
      <w:pPr>
        <w:pStyle w:val="0"/>
        <w:widowControl w:val="1"/>
        <w:ind w:leftChars="0" w:firstLine="838" w:firstLineChars="381"/>
        <w:jc w:val="left"/>
        <w:rPr>
          <w:rFonts w:hint="default"/>
        </w:rPr>
      </w:pPr>
      <w:r>
        <w:rPr>
          <w:rFonts w:hint="eastAsia" w:ascii="ＭＳ ゴシック" w:hAnsi="ＭＳ ゴシック" w:eastAsia="ＭＳ ゴシック"/>
          <w:b w:val="0"/>
          <w:sz w:val="22"/>
        </w:rPr>
        <w:t>原価及び売上高が分かる書類等（例えば、仕入帳、試算表、売上台帳など）の提出が必要。</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27</Words>
  <Characters>1910</Characters>
  <Application>JUST Note</Application>
  <Lines>175</Lines>
  <Paragraphs>135</Paragraphs>
  <Company>南丹市役所</Company>
  <CharactersWithSpaces>2854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南丹市役所</dc:creator>
  <cp:lastModifiedBy>Administrator</cp:lastModifiedBy>
  <cp:lastPrinted>2020-03-03T07:04:00Z</cp:lastPrinted>
  <dcterms:created xsi:type="dcterms:W3CDTF">2020-02-10T07:26:00Z</dcterms:created>
  <dcterms:modified xsi:type="dcterms:W3CDTF">2020-04-01T08:17:02Z</dcterms:modified>
  <cp:revision>3</cp:revision>
</cp:coreProperties>
</file>