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291" w:tblpY="-308"/>
        <w:tblOverlap w:val="never"/>
        <w:tblW w:w="10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2"/>
        <w:gridCol w:w="3224"/>
        <w:gridCol w:w="3742"/>
      </w:tblGrid>
      <w:tr>
        <w:trPr>
          <w:trHeight w:val="398" w:hRule="atLeast"/>
        </w:trPr>
        <w:tc>
          <w:tcPr>
            <w:tcW w:w="1018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53" w:hRule="atLeast"/>
        </w:trPr>
        <w:tc>
          <w:tcPr>
            <w:tcW w:w="3222"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4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06" w:hRule="atLeast"/>
        </w:trPr>
        <w:tc>
          <w:tcPr>
            <w:tcW w:w="322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24"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42"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様式第５－（ロ）－③</w:t>
      </w:r>
    </w:p>
    <w:tbl>
      <w:tblPr>
        <w:tblStyle w:val="11"/>
        <w:tblW w:w="10318" w:type="dxa"/>
        <w:jc w:val="left"/>
        <w:tblInd w:w="116" w:type="dxa"/>
        <w:tblLayout w:type="fixed"/>
        <w:tblCellMar>
          <w:left w:w="52" w:type="dxa"/>
          <w:right w:w="52" w:type="dxa"/>
        </w:tblCellMar>
        <w:tblLook w:firstRow="0" w:lastRow="0" w:firstColumn="0" w:lastColumn="0" w:noHBand="0" w:noVBand="0" w:val="0000"/>
      </w:tblPr>
      <w:tblGrid>
        <w:gridCol w:w="10318"/>
      </w:tblGrid>
      <w:tr>
        <w:trPr/>
        <w:tc>
          <w:tcPr>
            <w:tcW w:w="10318" w:type="dxa"/>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中小企業信用保険法第２条第５項第５号の規定による認定申請書（ロ－③）</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695" w:rightChars="331"/>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（市町村長又は特別区長）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876" w:rightChars="417"/>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wordWrap w:val="0"/>
              <w:overflowPunct w:val="0"/>
              <w:autoSpaceDE w:val="0"/>
              <w:autoSpaceDN w:val="0"/>
              <w:adjustRightInd w:val="0"/>
              <w:spacing w:line="180" w:lineRule="exact"/>
              <w:jc w:val="left"/>
              <w:textAlignment w:val="baseline"/>
              <w:rPr>
                <w:rFonts w:hint="default" w:ascii="ＭＳ ゴシック" w:hAnsi="ＭＳ ゴシック" w:eastAsia="ＭＳ ゴシック"/>
                <w:color w:val="000000"/>
                <w:spacing w:val="16"/>
                <w:kern w:val="0"/>
              </w:rPr>
            </w:pPr>
          </w:p>
          <w:p>
            <w:pPr>
              <w:pStyle w:val="39"/>
              <w:jc w:val="left"/>
              <w:rPr>
                <w:rFonts w:hint="default"/>
              </w:rPr>
            </w:pPr>
            <w:r>
              <w:rPr>
                <w:rFonts w:hint="eastAsia"/>
              </w:rPr>
              <w:t>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7"/>
              <w:gridCol w:w="3168"/>
              <w:gridCol w:w="3168"/>
            </w:tblGrid>
            <w:tr>
              <w:trPr>
                <w:trHeight w:val="327" w:hRule="atLeast"/>
              </w:trPr>
              <w:tc>
                <w:tcPr>
                  <w:tcW w:w="3167"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41" w:hRule="atLeast"/>
              </w:trPr>
              <w:tc>
                <w:tcPr>
                  <w:tcW w:w="31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8"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※表には、指定業種であって、原油等の価格の上昇を製品等の価格に転嫁できていない事業が属する業種</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日本標準産業分類の細分類番号と細分類業種名</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①上記の表に記載した指定業種（以下同じ。）に係る原油等の仕入単価の上昇（注２）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Ｅ：指定業種に係る原油等の最近１か月間における平均仕入れ単価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ｅ：指定業種に係るＥの期間に対応する前年１か月間の平均仕入れ単価</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②全体の売上原価のうち指定業種に係る原油等の仕入価格が占める割合（注２）</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Ｃ：申込時点における最新の全体の売上原価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Ｓ：Ｃの売上原価に対応する指定業種に係る原油等の仕入価格</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③－１　指定業種に係る製品等価格への転嫁の状況（注３）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＝Ｐ１</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Ｂ１：申込時点における最近３か月間の指定業種に係る売上高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kern w:val="0"/>
              </w:rPr>
              <w:t>　ｂ１：Ｂ１の期間に対応する前年３か月間の指定業種に係る売上高</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③－２　全体に係る製品等価格への転嫁の状況（注３）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ａ１</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Ｐ２＝</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Ａ１：申込時点における最近３か月間の指定業種に係る原油等の仕入価格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ａ１：Ａ１の期間に対応する前年３か月間の指定業種に係る原油等の仕入価格</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Ｂ２：申込時点における最近３か月間の全体の売上高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-28575</wp:posOffset>
                      </wp:positionH>
                      <wp:positionV relativeFrom="paragraph">
                        <wp:posOffset>123825</wp:posOffset>
                      </wp:positionV>
                      <wp:extent cx="6557645" cy="1548130"/>
                      <wp:effectExtent l="0" t="0" r="635" b="63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6557645" cy="1548130"/>
                              </a:xfrm>
                              <a:prstGeom prst="rect">
                                <a:avLst/>
                              </a:prstGeom>
                              <a:noFill/>
                              <a:ln>
                                <a:noFill/>
                              </a:ln>
                            </wps:spPr>
                            <wps:txbx>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862" w:hanging="86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br w:type="page"/>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9.75pt;mso-position-vertical-relative:text;mso-position-horizontal-relative:text;v-text-anchor:top;position:absolute;height:121.9pt;mso-wrap-distance-top:0pt;width:516.35pt;mso-wrap-distance-left:9pt;margin-left:-2.25pt;z-index:2;" o:spid="_x0000_s1026" o:allowincell="t" o:allowoverlap="t" filled="f" stroked="f" o:spt="202" type="#_x0000_t202">
                      <v:fill/>
                      <v:textbox style="layout-flow:horizontal;">
                        <w:txbxContent>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（注１）本様式は、指定業種に係る原油等の仕入価格の上昇等を指定業種及び企業全体の製品等の価格に転嫁できていないことによって認定基準を満たす場合に使用する。</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8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（注３）Ｐ１＞０、かつ、Ｐ２＞０となっていること。</w:t>
                            </w:r>
                          </w:p>
                          <w:p>
                            <w:pPr>
                              <w:pStyle w:val="0"/>
                              <w:suppressAutoHyphens w:val="1"/>
                              <w:spacing w:line="28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kinsoku w:val="0"/>
                              <w:autoSpaceDE w:val="0"/>
                              <w:autoSpaceDN w:val="0"/>
                              <w:spacing w:line="280" w:lineRule="exact"/>
                              <w:ind w:left="561" w:hanging="561" w:hangingChars="267"/>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ind w:left="862" w:hanging="86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br w:type="page"/>
                            </w:r>
                          </w:p>
                        </w:txbxContent>
                      </v:textbox>
                      <v:imagedata o:title=""/>
                      <w10:wrap type="none" anchorx="text" anchory="text"/>
                    </v:shape>
                  </w:pict>
                </mc:Fallback>
              </mc:AlternateContent>
            </w:r>
            <w:r>
              <w:rPr>
                <w:rFonts w:hint="eastAsia" w:ascii="ＭＳ ゴシック" w:hAnsi="ＭＳ ゴシック" w:eastAsia="ＭＳ ゴシック"/>
                <w:color w:val="000000"/>
                <w:kern w:val="0"/>
              </w:rPr>
              <w:t>　ｂ２：Ｂ２の期間に対応する前年３か月間の全体の売上高</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tc>
      </w:tr>
    </w:tbl>
    <w:p>
      <w:pPr>
        <w:pStyle w:val="0"/>
        <w:suppressAutoHyphens w:val="1"/>
        <w:spacing w:line="320" w:lineRule="exact"/>
        <w:ind w:left="737" w:hanging="737"/>
        <w:jc w:val="right"/>
        <w:textAlignment w:val="baseline"/>
        <w:rPr>
          <w:rFonts w:hint="default" w:ascii="ＭＳ ゴシック" w:hAnsi="ＭＳ ゴシック" w:eastAsia="ＭＳ ゴシック"/>
          <w:color w:val="000000"/>
          <w:kern w:val="0"/>
          <w:sz w:val="24"/>
        </w:rPr>
      </w:pPr>
    </w:p>
    <w:p>
      <w:pPr>
        <w:pStyle w:val="0"/>
        <w:widowControl w:val="1"/>
        <w:jc w:val="left"/>
        <w:rPr>
          <w:rFonts w:hint="default" w:ascii="ＭＳ ゴシック" w:hAnsi="ＭＳ ゴシック" w:eastAsia="ＭＳ ゴシック"/>
          <w:color w:val="000000"/>
          <w:kern w:val="0"/>
          <w:sz w:val="24"/>
        </w:rPr>
      </w:pPr>
    </w:p>
    <w:p>
      <w:pPr>
        <w:pStyle w:val="0"/>
        <w:suppressAutoHyphens w:val="1"/>
        <w:spacing w:line="320" w:lineRule="exact"/>
        <w:ind w:left="737" w:right="960" w:hanging="737"/>
        <w:textAlignment w:val="baseline"/>
        <w:rPr>
          <w:rFonts w:hint="default" w:ascii="ＭＳ ゴシック" w:hAnsi="ＭＳ ゴシック" w:eastAsia="ＭＳ ゴシック"/>
          <w:color w:val="000000"/>
          <w:kern w:val="0"/>
          <w:sz w:val="24"/>
        </w:rPr>
      </w:pPr>
      <w:r>
        <w:rPr>
          <w:rFonts w:hint="default" w:ascii="ＭＳ ゴシック" w:hAnsi="ＭＳ ゴシック" w:eastAsia="ＭＳ ゴシック"/>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a:graphic xmlns:a="http://schemas.openxmlformats.org/drawingml/2006/main">
                  <a:graphicData uri="http://schemas.microsoft.com/office/word/2010/wordprocessingShape">
                    <wps:wsp>
                      <wps:cNvPr id="1027" name="正方形/長方形 7"/>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r>
        <w:rPr>
          <w:rFonts w:hint="default" w:ascii="ＭＳ ゴシック" w:hAnsi="ＭＳ ゴシック" w:eastAsia="ＭＳ ゴシック"/>
          <w:color w:val="000000"/>
          <w:kern w:val="0"/>
        </w:rPr>
        <w:br w:type="page"/>
      </w:r>
    </w:p>
    <w:p>
      <w:pPr>
        <w:rPr>
          <w:rFonts w:hint="default" w:ascii="ＭＳ ゴシック" w:hAnsi="ＭＳ ゴシック" w:eastAsia="ＭＳ ゴシック"/>
          <w:color w:val="000000"/>
          <w:kern w:val="0"/>
        </w:rPr>
        <w:sectPr>
          <w:headerReference r:id="rId6" w:type="even"/>
          <w:headerReference r:id="rId7" w:type="default"/>
          <w:footerReference r:id="rId9" w:type="even"/>
          <w:footerReference r:id="rId10" w:type="default"/>
          <w:headerReference r:id="rId5" w:type="first"/>
          <w:footerReference r:id="rId8" w:type="first"/>
          <w:pgSz w:w="11906" w:h="16838"/>
          <w:pgMar w:top="720" w:right="720" w:bottom="720" w:left="720" w:header="851" w:footer="736" w:gutter="0"/>
          <w:cols w:space="720"/>
          <w:textDirection w:val="lrTb"/>
          <w:docGrid w:linePitch="360"/>
        </w:sectPr>
      </w:pPr>
    </w:p>
    <w:p>
      <w:pPr>
        <w:pStyle w:val="0"/>
        <w:suppressAutoHyphens w:val="1"/>
        <w:spacing w:line="240" w:lineRule="exact"/>
        <w:ind w:right="840"/>
        <w:jc w:val="right"/>
        <w:textAlignment w:val="baseline"/>
        <w:rPr>
          <w:rFonts w:hint="default" w:asciiTheme="majorEastAsia" w:hAnsiTheme="majorEastAsia" w:eastAsiaTheme="majorEastAsia"/>
        </w:rPr>
      </w:pPr>
      <w:r>
        <w:rPr>
          <w:rFonts w:hint="eastAsia" w:asciiTheme="majorEastAsia" w:hAnsiTheme="majorEastAsia" w:eastAsiaTheme="majorEastAsia"/>
          <w:spacing w:val="30"/>
          <w:kern w:val="0"/>
          <w:fitText w:val="2100" w:id="1"/>
        </w:rPr>
        <w:t>南農商観</w:t>
      </w:r>
      <w:bookmarkStart w:id="0" w:name="_GoBack"/>
      <w:bookmarkEnd w:id="0"/>
      <w:r>
        <w:rPr>
          <w:rFonts w:hint="eastAsia" w:asciiTheme="majorEastAsia" w:hAnsiTheme="majorEastAsia" w:eastAsiaTheme="majorEastAsia"/>
          <w:spacing w:val="30"/>
          <w:kern w:val="0"/>
          <w:fitText w:val="2100" w:id="1"/>
        </w:rPr>
        <w:t>第　　</w:t>
      </w:r>
      <w:r>
        <w:rPr>
          <w:rFonts w:hint="eastAsia" w:asciiTheme="majorEastAsia" w:hAnsiTheme="majorEastAsia" w:eastAsiaTheme="majorEastAsia"/>
          <w:spacing w:val="3"/>
          <w:kern w:val="0"/>
          <w:fitText w:val="2100" w:id="1"/>
        </w:rPr>
        <w:t>号</w:t>
      </w:r>
    </w:p>
    <w:p>
      <w:pPr>
        <w:pStyle w:val="0"/>
        <w:suppressAutoHyphens w:val="1"/>
        <w:spacing w:line="240" w:lineRule="exact"/>
        <w:ind w:right="840"/>
        <w:jc w:val="right"/>
        <w:textAlignment w:val="baseline"/>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suppressAutoHyphens w:val="1"/>
        <w:spacing w:line="240" w:lineRule="exact"/>
        <w:ind w:right="840"/>
        <w:textAlignment w:val="baseline"/>
        <w:rPr>
          <w:rFonts w:hint="default" w:asciiTheme="majorEastAsia" w:hAnsiTheme="majorEastAsia" w:eastAsiaTheme="majorEastAsia"/>
        </w:rPr>
      </w:pPr>
    </w:p>
    <w:p>
      <w:pPr>
        <w:pStyle w:val="0"/>
        <w:suppressAutoHyphens w:val="1"/>
        <w:spacing w:line="240" w:lineRule="exact"/>
        <w:ind w:right="840"/>
        <w:textAlignment w:val="baseline"/>
        <w:rPr>
          <w:rFonts w:hint="default" w:asciiTheme="majorEastAsia" w:hAnsiTheme="majorEastAsia" w:eastAsiaTheme="majorEastAsia"/>
        </w:rPr>
      </w:pPr>
      <w:r>
        <w:rPr>
          <w:rFonts w:hint="eastAsia" w:asciiTheme="majorEastAsia" w:hAnsiTheme="majorEastAsia" w:eastAsiaTheme="majorEastAsia"/>
        </w:rPr>
        <w:t>　申請のとおり、相違ないことを認定します。</w:t>
      </w:r>
    </w:p>
    <w:p>
      <w:pPr>
        <w:pStyle w:val="0"/>
        <w:suppressAutoHyphens w:val="1"/>
        <w:spacing w:line="240" w:lineRule="exact"/>
        <w:ind w:right="840"/>
        <w:textAlignment w:val="baseline"/>
        <w:rPr>
          <w:rFonts w:hint="default" w:asciiTheme="majorEastAsia" w:hAnsiTheme="majorEastAsia" w:eastAsiaTheme="majorEastAsia"/>
        </w:rPr>
      </w:pPr>
      <w:r>
        <w:rPr>
          <w:rFonts w:hint="eastAsia" w:asciiTheme="majorEastAsia" w:hAnsiTheme="majorEastAsia" w:eastAsiaTheme="majorEastAsia"/>
        </w:rPr>
        <w:t>　本認定書の有効期間：令和　　年　　月　　日から令和　　年　　月　　日まで</w:t>
      </w:r>
    </w:p>
    <w:p>
      <w:pPr>
        <w:pStyle w:val="0"/>
        <w:suppressAutoHyphens w:val="1"/>
        <w:spacing w:line="240" w:lineRule="exact"/>
        <w:ind w:right="840"/>
        <w:textAlignment w:val="baseline"/>
        <w:rPr>
          <w:rFonts w:hint="default" w:asciiTheme="majorEastAsia" w:hAnsiTheme="majorEastAsia" w:eastAsiaTheme="majorEastAsia"/>
        </w:rPr>
      </w:pPr>
    </w:p>
    <w:p>
      <w:pPr>
        <w:pStyle w:val="0"/>
        <w:suppressAutoHyphens w:val="1"/>
        <w:spacing w:line="240" w:lineRule="exact"/>
        <w:ind w:right="840"/>
        <w:textAlignment w:val="baseline"/>
        <w:rPr>
          <w:rFonts w:hint="default" w:asciiTheme="majorEastAsia" w:hAnsiTheme="majorEastAsia" w:eastAsiaTheme="majorEastAsia"/>
        </w:rPr>
      </w:pPr>
    </w:p>
    <w:p>
      <w:pPr>
        <w:pStyle w:val="0"/>
        <w:suppressAutoHyphens w:val="1"/>
        <w:spacing w:line="240" w:lineRule="exact"/>
        <w:ind w:right="840"/>
        <w:jc w:val="right"/>
        <w:textAlignment w:val="baseline"/>
        <w:rPr>
          <w:rFonts w:hint="default" w:asciiTheme="majorEastAsia" w:hAnsiTheme="majorEastAsia" w:eastAsiaTheme="majorEastAsia"/>
        </w:rPr>
      </w:pPr>
    </w:p>
    <w:p>
      <w:pPr>
        <w:pStyle w:val="0"/>
        <w:suppressAutoHyphens w:val="1"/>
        <w:wordWrap w:val="0"/>
        <w:spacing w:line="240" w:lineRule="exact"/>
        <w:ind w:right="840"/>
        <w:jc w:val="right"/>
        <w:textAlignment w:val="baseline"/>
        <w:rPr>
          <w:rFonts w:hint="default" w:asciiTheme="majorEastAsia" w:hAnsiTheme="majorEastAsia" w:eastAsiaTheme="majorEastAsia"/>
        </w:rPr>
      </w:pPr>
      <w:r>
        <w:rPr>
          <w:rFonts w:hint="eastAsia" w:asciiTheme="majorEastAsia" w:hAnsiTheme="majorEastAsia" w:eastAsiaTheme="majorEastAsia"/>
        </w:rPr>
        <w:t>南丹市長　　　　　　　　　　印</w:t>
      </w:r>
    </w:p>
    <w:sectPr>
      <w:pgSz w:w="11906" w:h="16838"/>
      <w:pgMar w:top="1985" w:right="99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3</Words>
  <Characters>1221</Characters>
  <Application>JUST Note</Application>
  <Lines>84</Lines>
  <Paragraphs>46</Paragraphs>
  <CharactersWithSpaces>1853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2020-03-03T07:21:00Z</dcterms:created>
  <dcterms:modified xsi:type="dcterms:W3CDTF">2020-04-01T07:32:40Z</dcterms:modified>
  <cp:revision>1</cp:revision>
</cp:coreProperties>
</file>