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-14605</wp:posOffset>
                </wp:positionV>
                <wp:extent cx="984885" cy="9848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84885" cy="984885"/>
                        </a:xfrm>
                        <a:prstGeom prst="ellips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受　　付　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-1.1399999999999999pt;mso-position-vertical-relative:text;mso-position-horizontal-relative:text;v-text-anchor:middle;position:absolute;height:77.55pt;mso-wrap-distance-top:0pt;width:77.55pt;mso-wrap-distance-left:5.65pt;margin-left:418.1pt;z-index:2;" o:spid="_x0000_s1026" o:allowincell="t" o:allowoverlap="t" filled="t" fillcolor="#ffffff [3201]" stroked="t" strokecolor="#000000 [3200]" strokeweight="1pt" o:spt="3">
                <v:fill/>
                <v:stroke linestyle="single" endcap="flat" dashstyle="shortdot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受　　付　印</w:t>
                      </w:r>
                    </w:p>
                  </w:txbxContent>
                </v:textbox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32"/>
        </w:rPr>
        <w:t>アライグマ捕獲檻借用申請書兼誓約書</w:t>
      </w:r>
    </w:p>
    <w:p>
      <w:pPr>
        <w:pStyle w:val="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55880</wp:posOffset>
                </wp:positionV>
                <wp:extent cx="441960" cy="44196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4.4000000000000004pt;mso-position-vertical-relative:text;mso-position-horizontal-relative:text;v-text-anchor:middle;position:absolute;height:34.79pt;mso-wrap-distance-top:0pt;width:34.79pt;mso-wrap-distance-left:5.65pt;margin-left:450.55pt;z-index:3;" o:spid="_x0000_s1027" o:allowincell="t" o:allowoverlap="t" filled="t" fillcolor="#ffffff [3201]" stroked="t" strokecolor="#000000 [3200]" strokeweight="0.5pt" o:spt="3">
                <v:fill/>
                <v:stroke linestyle="single" endcap="flat"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　</w:t>
      </w:r>
      <w:r>
        <w:rPr>
          <w:rFonts w:hint="eastAsia"/>
          <w:sz w:val="24"/>
        </w:rPr>
        <w:t>南丹市長様</w:t>
      </w:r>
    </w:p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【申請者】</w:t>
      </w:r>
    </w:p>
    <w:tbl>
      <w:tblPr>
        <w:tblStyle w:val="18"/>
        <w:tblW w:w="0" w:type="auto"/>
        <w:tblInd w:w="3931" w:type="dxa"/>
        <w:tblLayout w:type="fixed"/>
        <w:tblLook w:firstRow="1" w:lastRow="0" w:firstColumn="1" w:lastColumn="0" w:noHBand="0" w:noVBand="1" w:val="04A0"/>
      </w:tblPr>
      <w:tblGrid>
        <w:gridCol w:w="1104"/>
        <w:gridCol w:w="3469"/>
      </w:tblGrid>
      <w:tr>
        <w:trPr>
          <w:trHeight w:val="540" w:hRule="atLeast"/>
        </w:trPr>
        <w:tc>
          <w:tcPr>
            <w:tcW w:w="11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210"/>
                <w:fitText w:val="840" w:id="1"/>
              </w:rPr>
              <w:t>住</w:t>
            </w:r>
            <w:r>
              <w:rPr>
                <w:rFonts w:hint="eastAsia"/>
                <w:fitText w:val="840" w:id="1"/>
              </w:rPr>
              <w:t>所</w:t>
            </w:r>
          </w:p>
        </w:tc>
        <w:tc>
          <w:tcPr>
            <w:tcW w:w="34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104" w:type="dxa"/>
            <w:vAlign w:val="center"/>
          </w:tcPr>
          <w:p>
            <w:pPr>
              <w:pStyle w:val="0"/>
              <w:jc w:val="distribute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fldChar w:fldCharType="begin"/>
            </w:r>
            <w:r>
              <w:rPr>
                <w:rFonts w:hint="eastAsia"/>
                <w:shd w:val="clear" w:color="auto" w:fill="auto"/>
              </w:rPr>
              <w:instrText>EQ \* jc2 \* hps14 \o\ad(\s\up 9(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リ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ナ</w:instrText>
            </w:r>
            <w:r>
              <w:rPr>
                <w:rFonts w:hint="eastAsia"/>
                <w:shd w:val="clear" w:color="auto" w:fill="auto"/>
              </w:rPr>
              <w:instrText>),</w:instrText>
            </w:r>
            <w:r>
              <w:rPr>
                <w:rFonts w:hint="eastAsia"/>
                <w:shd w:val="clear" w:color="auto" w:fill="auto"/>
              </w:rPr>
              <w:instrText>氏名</w:instrText>
            </w:r>
            <w:r>
              <w:rPr>
                <w:rFonts w:hint="eastAsia"/>
                <w:shd w:val="clear" w:color="auto" w:fill="auto"/>
              </w:rPr>
              <w:instrText>)</w:instrText>
            </w:r>
            <w:r>
              <w:rPr>
                <w:rFonts w:hint="eastAsia"/>
                <w:shd w:val="clear" w:color="auto" w:fill="auto"/>
              </w:rPr>
              <w:fldChar w:fldCharType="end"/>
            </w:r>
          </w:p>
        </w:tc>
        <w:tc>
          <w:tcPr>
            <w:tcW w:w="34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南丹市アライグマ防除計画に基づき、捕獲檻を借用したいので、誓約事項を承諾の上、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下記のとおり申請します。</w:t>
      </w:r>
    </w:p>
    <w:p>
      <w:pPr>
        <w:pStyle w:val="0"/>
        <w:ind w:leftChars="0" w:firstLine="0" w:firstLineChars="0"/>
        <w:jc w:val="right"/>
        <w:rPr>
          <w:rFonts w:hint="eastAsia"/>
        </w:rPr>
      </w:pPr>
      <w:r>
        <w:rPr>
          <w:rFonts w:hint="eastAsia"/>
        </w:rPr>
        <w:t>新規　・　継続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9"/>
      </w:tblGrid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防除の期間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5"/>
                <w:fitText w:val="1050" w:id="2"/>
              </w:rPr>
              <w:t>借受期</w:t>
            </w:r>
            <w:r>
              <w:rPr>
                <w:rFonts w:hint="eastAsia"/>
                <w:fitText w:val="1050" w:id="2"/>
              </w:rPr>
              <w:t>間</w:t>
            </w:r>
            <w:r>
              <w:rPr>
                <w:rFonts w:hint="eastAsia"/>
              </w:rPr>
              <w:t>）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日まで（２週間）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防除の区域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5"/>
                <w:fitText w:val="1050" w:id="3"/>
              </w:rPr>
              <w:t>設置場</w:t>
            </w:r>
            <w:r>
              <w:rPr>
                <w:rFonts w:hint="eastAsia"/>
                <w:fitText w:val="1050" w:id="3"/>
              </w:rPr>
              <w:t>所</w:t>
            </w:r>
            <w:r>
              <w:rPr>
                <w:rFonts w:hint="eastAsia"/>
              </w:rPr>
              <w:t>）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南丹市　　　　　　町　　　　　　　　　番地　地内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防除の方法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捕獲器等の猟具により捕獲し適切に処分する。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誓約事</w:t>
            </w:r>
            <w:r>
              <w:rPr>
                <w:rFonts w:hint="eastAsia"/>
                <w:fitText w:val="1050" w:id="4"/>
              </w:rPr>
              <w:t>項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次の事項を遵守することを誓約します。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借受けた捕獲檻は、特定外来種（アライグマ）の捕獲の目的に使用します。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上記目的以外には使用せず、目的外の動物が捕獲された場合は、速やかに逃がします。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使用の際には、「特定外来生物による生態系等に係る被害の防止に関する法律」等の関係法令を遵守します。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借受けた捕獲檻の転貸しはしません。</w:t>
            </w:r>
          </w:p>
          <w:p>
            <w:pPr>
              <w:pStyle w:val="15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捕獲檻を破損若しくは滅失し返却することが不能となった場合は、同種、同等機能の物を借受者の責任において弁償します。</w:t>
            </w:r>
          </w:p>
          <w:p>
            <w:pPr>
              <w:pStyle w:val="0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事故等により第三者に損害を与えたときは、借用者の責任において対処し、速やかに報告します。</w:t>
            </w:r>
          </w:p>
          <w:p>
            <w:pPr>
              <w:pStyle w:val="0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捕獲檻を使用する際は、定期的に点検を行い適正な使用に努めます。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借用期間中であっても、市長から特に申し出があったときは、速やかに返却します。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借用期間終了後は、速やかに返却し確認を受けます。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5"/>
              </w:rPr>
              <w:t>添付書</w:t>
            </w:r>
            <w:r>
              <w:rPr>
                <w:rFonts w:hint="eastAsia"/>
                <w:fitText w:val="1050" w:id="5"/>
              </w:rPr>
              <w:t>類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捕獲檻設置位置図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その他（　　　　　　　　　　　　　　　　　　　　　　　）</w:t>
            </w:r>
          </w:p>
        </w:tc>
      </w:tr>
      <w:tr>
        <w:trPr>
          <w:trHeight w:val="48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捕獲檻番号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処理欄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63"/>
        <w:gridCol w:w="822"/>
        <w:gridCol w:w="1260"/>
        <w:gridCol w:w="840"/>
        <w:gridCol w:w="1050"/>
        <w:gridCol w:w="840"/>
        <w:gridCol w:w="1050"/>
        <w:gridCol w:w="1579"/>
      </w:tblGrid>
      <w:tr>
        <w:trPr>
          <w:trHeight w:val="790" w:hRule="atLeast"/>
        </w:trPr>
        <w:tc>
          <w:tcPr>
            <w:tcW w:w="106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2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員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32"/>
        </w:rPr>
        <w:t>アライグマ捕獲檻借用誓約書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>次の事項を遵守することを誓約します。</w:t>
      </w:r>
    </w:p>
    <w:p>
      <w:pPr>
        <w:pStyle w:val="0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借受けた捕獲檻は、特定外来種（アライグマ）の捕獲の目的に使用します。</w:t>
      </w:r>
    </w:p>
    <w:p>
      <w:pPr>
        <w:pStyle w:val="0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上記目的以外には使用せず、目的外の動物が捕獲された場合は、速やかに逃がします。</w:t>
      </w:r>
    </w:p>
    <w:p>
      <w:pPr>
        <w:pStyle w:val="15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使用の際には、「特定外来生物による生態系等に係る被害の防止に関する法律」等の関係法令を遵守します。</w:t>
      </w:r>
    </w:p>
    <w:p>
      <w:pPr>
        <w:pStyle w:val="15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借受けた捕獲檻の転貸しはしません。</w:t>
      </w:r>
    </w:p>
    <w:p>
      <w:pPr>
        <w:pStyle w:val="0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捕獲檻を破損若しくは滅失し返却することが不能となった場合は、同種、同等機能の物を借受者の責任において弁償します。</w:t>
      </w:r>
    </w:p>
    <w:p>
      <w:pPr>
        <w:pStyle w:val="0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事故等により第三者に損害を与えたときは、借用者の責任において対処し、速やかに報告します。</w:t>
      </w:r>
    </w:p>
    <w:p>
      <w:pPr>
        <w:pStyle w:val="0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捕獲檻を使用する際は、定期的に点検を行い適正な使用に努めます。</w:t>
      </w:r>
    </w:p>
    <w:p>
      <w:pPr>
        <w:pStyle w:val="15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借用期間中であっても、市長から特に申し出があったときは、速やかに返却します。</w:t>
      </w:r>
    </w:p>
    <w:p>
      <w:pPr>
        <w:pStyle w:val="15"/>
        <w:numPr>
          <w:ilvl w:val="0"/>
          <w:numId w:val="2"/>
        </w:numPr>
        <w:spacing w:line="360" w:lineRule="auto"/>
        <w:ind w:leftChars="0" w:firstLineChars="0"/>
        <w:rPr>
          <w:rFonts w:hint="eastAsia"/>
          <w:sz w:val="26"/>
        </w:rPr>
      </w:pPr>
      <w:r>
        <w:rPr>
          <w:rFonts w:hint="eastAsia"/>
          <w:sz w:val="26"/>
        </w:rPr>
        <w:t>借用期間終了後は、速やかに返却し確認を受けます。</w:t>
      </w:r>
    </w:p>
    <w:p>
      <w:pPr>
        <w:pStyle w:val="0"/>
        <w:numPr>
          <w:numId w:val="0"/>
        </w:numPr>
        <w:spacing w:line="360" w:lineRule="auto"/>
        <w:ind w:left="0" w:leftChars="0" w:firstLineChars="0"/>
        <w:rPr>
          <w:rFonts w:hint="eastAsia"/>
          <w:sz w:val="26"/>
        </w:rPr>
      </w:pPr>
    </w:p>
    <w:p>
      <w:pPr>
        <w:pStyle w:val="0"/>
        <w:numPr>
          <w:numId w:val="0"/>
        </w:numPr>
        <w:spacing w:line="360" w:lineRule="auto"/>
        <w:ind w:left="0" w:leftChars="0" w:firstLineChars="0"/>
        <w:rPr>
          <w:rFonts w:hint="eastAsia"/>
          <w:sz w:val="26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1250" w:hRule="atLeast"/>
        </w:trPr>
        <w:tc>
          <w:tcPr>
            <w:tcW w:w="230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6"/>
              </w:rPr>
              <w:t>防除の期間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6"/>
              </w:rPr>
              <w:t>（</w:t>
            </w:r>
            <w:r>
              <w:rPr>
                <w:rFonts w:hint="eastAsia"/>
                <w:spacing w:val="43"/>
                <w:sz w:val="26"/>
                <w:fitText w:val="1300" w:id="6"/>
              </w:rPr>
              <w:t>借用期</w:t>
            </w:r>
            <w:r>
              <w:rPr>
                <w:rFonts w:hint="eastAsia"/>
                <w:spacing w:val="1"/>
                <w:sz w:val="26"/>
                <w:fitText w:val="1300" w:id="6"/>
              </w:rPr>
              <w:t>間</w:t>
            </w:r>
            <w:r>
              <w:rPr>
                <w:rFonts w:hint="eastAsia"/>
                <w:sz w:val="26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60" w:firstLineChars="100"/>
              <w:rPr>
                <w:rFonts w:hint="eastAsia"/>
              </w:rPr>
            </w:pPr>
            <w:r>
              <w:rPr>
                <w:rFonts w:hint="eastAsia"/>
                <w:sz w:val="26"/>
                <w:u w:val="none" w:color="auto"/>
              </w:rPr>
              <w:t>令和　　　年　　　月　　　日</w:t>
            </w:r>
            <w:r>
              <w:rPr>
                <w:rFonts w:hint="eastAsia"/>
                <w:sz w:val="26"/>
              </w:rPr>
              <w:t>から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6"/>
              </w:rPr>
              <w:t>　</w:t>
            </w:r>
            <w:r>
              <w:rPr>
                <w:rFonts w:hint="eastAsia"/>
                <w:i w:val="0"/>
                <w:sz w:val="26"/>
                <w:u w:val="none" w:color="auto"/>
              </w:rPr>
              <w:t>令和　　　年　　　月　　　日</w:t>
            </w:r>
            <w:r>
              <w:rPr>
                <w:rFonts w:hint="eastAsia"/>
                <w:sz w:val="26"/>
              </w:rPr>
              <w:t>まで（２週間）</w:t>
            </w:r>
          </w:p>
        </w:tc>
      </w:tr>
    </w:tbl>
    <w:p>
      <w:pPr>
        <w:pStyle w:val="0"/>
        <w:numPr>
          <w:numId w:val="0"/>
        </w:numPr>
        <w:spacing w:line="360" w:lineRule="auto"/>
        <w:ind w:left="0" w:leftChars="0" w:firstLineChars="0"/>
        <w:rPr>
          <w:rFonts w:hint="eastAsia"/>
          <w:sz w:val="24"/>
        </w:rPr>
      </w:pPr>
    </w:p>
    <w:sectPr>
      <w:pgSz w:w="11906" w:h="16838"/>
      <w:pgMar w:top="545" w:right="1701" w:bottom="496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060184A"/>
    <w:lvl w:ilvl="0" w:tplc="E317F017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hybridMultilevel"/>
    <w:tmpl w:val="C7610F04"/>
    <w:lvl w:ilvl="0" w:tplc="E086776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2</Pages>
  <Words>0</Words>
  <Characters>958</Characters>
  <Application>JUST Note</Application>
  <Lines>89</Lines>
  <Paragraphs>55</Paragraphs>
  <Company>南丹市役所</Company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2021-08-22T23:27:46Z</cp:lastPrinted>
  <dcterms:created xsi:type="dcterms:W3CDTF">2021-08-02T02:14:00Z</dcterms:created>
  <dcterms:modified xsi:type="dcterms:W3CDTF">2021-08-16T04:02:51Z</dcterms:modified>
  <cp:revision>1</cp:revision>
</cp:coreProperties>
</file>